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99" w:rsidRPr="000D444C" w:rsidRDefault="00997802" w:rsidP="00A56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4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56199" w:rsidRPr="000D444C">
        <w:rPr>
          <w:rFonts w:ascii="Times New Roman" w:hAnsi="Times New Roman"/>
          <w:sz w:val="24"/>
          <w:szCs w:val="24"/>
        </w:rPr>
        <w:t>Приложение 1</w:t>
      </w:r>
    </w:p>
    <w:p w:rsidR="00A56199" w:rsidRPr="000D444C" w:rsidRDefault="00A56199" w:rsidP="00A56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A56199" w:rsidRPr="000D444C" w:rsidRDefault="00A56199" w:rsidP="00A56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муниципальной программы города </w:t>
      </w:r>
      <w:proofErr w:type="gramStart"/>
      <w:r w:rsidRPr="000D444C">
        <w:rPr>
          <w:rFonts w:ascii="Times New Roman" w:hAnsi="Times New Roman"/>
          <w:sz w:val="24"/>
          <w:szCs w:val="24"/>
        </w:rPr>
        <w:t>Радужный</w:t>
      </w:r>
      <w:proofErr w:type="gramEnd"/>
      <w:r w:rsidRPr="000D444C">
        <w:rPr>
          <w:rFonts w:ascii="Times New Roman" w:hAnsi="Times New Roman"/>
          <w:sz w:val="24"/>
          <w:szCs w:val="24"/>
        </w:rPr>
        <w:t xml:space="preserve"> </w:t>
      </w:r>
    </w:p>
    <w:p w:rsidR="00A56199" w:rsidRPr="000D444C" w:rsidRDefault="00A56199" w:rsidP="00A56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«Управление муниципальными</w:t>
      </w:r>
      <w:r w:rsidR="000D444C">
        <w:rPr>
          <w:rFonts w:ascii="Times New Roman" w:hAnsi="Times New Roman"/>
          <w:sz w:val="24"/>
          <w:szCs w:val="24"/>
        </w:rPr>
        <w:t xml:space="preserve">  </w:t>
      </w:r>
      <w:r w:rsidRPr="000D444C">
        <w:rPr>
          <w:rFonts w:ascii="Times New Roman" w:hAnsi="Times New Roman"/>
          <w:sz w:val="24"/>
          <w:szCs w:val="24"/>
        </w:rPr>
        <w:t xml:space="preserve"> финансами в                      муниципальном образовании город Радужный                                                                                                                  </w:t>
      </w:r>
    </w:p>
    <w:p w:rsidR="00A56199" w:rsidRPr="000D444C" w:rsidRDefault="00A56199" w:rsidP="00A56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44C">
        <w:rPr>
          <w:rFonts w:ascii="Times New Roman" w:hAnsi="Times New Roman"/>
          <w:sz w:val="24"/>
          <w:szCs w:val="24"/>
        </w:rPr>
        <w:t xml:space="preserve"> на 2014-2020 годы»  в 2015 году                                                                                                       </w:t>
      </w:r>
    </w:p>
    <w:p w:rsidR="00997802" w:rsidRPr="001953B4" w:rsidRDefault="00997802" w:rsidP="00A561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97802" w:rsidRPr="001D154E" w:rsidRDefault="00997802" w:rsidP="00692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997802" w:rsidRPr="008B12C0" w:rsidRDefault="00997802" w:rsidP="0069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 w:rsidR="006927A5">
        <w:rPr>
          <w:rFonts w:ascii="Times New Roman" w:hAnsi="Times New Roman"/>
          <w:b/>
          <w:sz w:val="28"/>
          <w:szCs w:val="28"/>
        </w:rPr>
        <w:t>Управление муниципальными финансами в муниципальном образовании город Радужный на 2014-2020 годы</w:t>
      </w:r>
      <w:r w:rsidR="00695513">
        <w:rPr>
          <w:rFonts w:ascii="Times New Roman" w:hAnsi="Times New Roman"/>
          <w:b/>
          <w:sz w:val="28"/>
          <w:szCs w:val="28"/>
        </w:rPr>
        <w:t>» в 2015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 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997802" w:rsidRPr="008B12C0" w:rsidRDefault="00997802" w:rsidP="0069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8"/>
        <w:gridCol w:w="3095"/>
        <w:gridCol w:w="152"/>
        <w:gridCol w:w="13"/>
        <w:gridCol w:w="1269"/>
        <w:gridCol w:w="7"/>
        <w:gridCol w:w="119"/>
        <w:gridCol w:w="1298"/>
        <w:gridCol w:w="1224"/>
        <w:gridCol w:w="53"/>
        <w:gridCol w:w="992"/>
        <w:gridCol w:w="145"/>
        <w:gridCol w:w="991"/>
        <w:gridCol w:w="4537"/>
        <w:gridCol w:w="1276"/>
      </w:tblGrid>
      <w:tr w:rsidR="00DB1182" w:rsidRPr="00DC1F04" w:rsidTr="007A13B8">
        <w:trPr>
          <w:trHeight w:val="615"/>
        </w:trPr>
        <w:tc>
          <w:tcPr>
            <w:tcW w:w="522" w:type="dxa"/>
            <w:vMerge w:val="restart"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560" w:type="dxa"/>
            <w:gridSpan w:val="5"/>
            <w:vMerge w:val="restart"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03" w:type="dxa"/>
            <w:gridSpan w:val="6"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4537" w:type="dxa"/>
            <w:vMerge w:val="restart"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97802" w:rsidRPr="007A13B8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3B8">
              <w:rPr>
                <w:rFonts w:ascii="Times New Roman" w:hAnsi="Times New Roman"/>
                <w:sz w:val="18"/>
                <w:szCs w:val="18"/>
              </w:rPr>
              <w:t>Причины неисполнения</w:t>
            </w:r>
          </w:p>
        </w:tc>
      </w:tr>
      <w:tr w:rsidR="00DB1182" w:rsidRPr="00DC1F04" w:rsidTr="007A13B8">
        <w:trPr>
          <w:trHeight w:val="610"/>
        </w:trPr>
        <w:tc>
          <w:tcPr>
            <w:tcW w:w="522" w:type="dxa"/>
            <w:vMerge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noWrap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45" w:type="dxa"/>
            <w:gridSpan w:val="2"/>
            <w:noWrap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36" w:type="dxa"/>
            <w:gridSpan w:val="2"/>
            <w:vAlign w:val="center"/>
          </w:tcPr>
          <w:p w:rsidR="00997802" w:rsidRPr="00DC1F04" w:rsidRDefault="009978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1F04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DC1F0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C1F04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DC1F0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4537" w:type="dxa"/>
            <w:vMerge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97802" w:rsidRPr="00DC1F0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802" w:rsidRPr="00DC1F04" w:rsidTr="00ED25F4">
        <w:trPr>
          <w:trHeight w:val="497"/>
        </w:trPr>
        <w:tc>
          <w:tcPr>
            <w:tcW w:w="15701" w:type="dxa"/>
            <w:gridSpan w:val="16"/>
            <w:noWrap/>
          </w:tcPr>
          <w:p w:rsidR="00997802" w:rsidRPr="002E7EA3" w:rsidRDefault="00EA231B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«Организация бюджетного процесса в муниципальном образовании город Радужный»</w:t>
            </w:r>
          </w:p>
        </w:tc>
      </w:tr>
      <w:tr w:rsidR="00EA231B" w:rsidRPr="00DC1F04" w:rsidTr="00ED25F4">
        <w:trPr>
          <w:trHeight w:val="497"/>
        </w:trPr>
        <w:tc>
          <w:tcPr>
            <w:tcW w:w="15701" w:type="dxa"/>
            <w:gridSpan w:val="16"/>
            <w:noWrap/>
          </w:tcPr>
          <w:p w:rsidR="00EA231B" w:rsidRPr="002E7EA3" w:rsidRDefault="00EA231B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 Долгосрочное бюджетное планирование</w:t>
            </w:r>
          </w:p>
        </w:tc>
      </w:tr>
      <w:tr w:rsidR="00DB1182" w:rsidRPr="00DC1F04" w:rsidTr="007A13B8">
        <w:trPr>
          <w:trHeight w:val="497"/>
        </w:trPr>
        <w:tc>
          <w:tcPr>
            <w:tcW w:w="522" w:type="dxa"/>
            <w:noWrap/>
          </w:tcPr>
          <w:p w:rsidR="00997802" w:rsidRPr="00003630" w:rsidRDefault="009978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  <w:gridSpan w:val="3"/>
            <w:noWrap/>
          </w:tcPr>
          <w:p w:rsidR="00997802" w:rsidRPr="00003630" w:rsidRDefault="00997802" w:rsidP="00EA231B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630">
              <w:rPr>
                <w:rFonts w:ascii="Times New Roman" w:hAnsi="Times New Roman"/>
                <w:bCs/>
                <w:sz w:val="24"/>
                <w:szCs w:val="24"/>
              </w:rPr>
              <w:t xml:space="preserve">1.1. </w:t>
            </w:r>
            <w:r w:rsidR="002F4824" w:rsidRPr="00003630">
              <w:rPr>
                <w:rFonts w:ascii="Times New Roman" w:hAnsi="Times New Roman"/>
                <w:sz w:val="24"/>
                <w:szCs w:val="24"/>
              </w:rPr>
              <w:t>Реализация мероприятий по долгосрочному бюджетному планированию в соответствии с Бюджетной стратегией Ханты-Мансийского автономного округа - Югры до 2020 года и на период 2030 года</w:t>
            </w:r>
          </w:p>
        </w:tc>
        <w:tc>
          <w:tcPr>
            <w:tcW w:w="1282" w:type="dxa"/>
            <w:gridSpan w:val="2"/>
            <w:noWrap/>
          </w:tcPr>
          <w:p w:rsidR="00997802" w:rsidRPr="00003630" w:rsidRDefault="0099780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3"/>
            <w:noWrap/>
          </w:tcPr>
          <w:p w:rsidR="00997802" w:rsidRPr="00003630" w:rsidRDefault="002F482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997802" w:rsidRPr="00003630" w:rsidRDefault="002F482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997802" w:rsidRPr="00003630" w:rsidRDefault="002F482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noWrap/>
          </w:tcPr>
          <w:p w:rsidR="00997802" w:rsidRPr="00003630" w:rsidRDefault="002F482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37" w:type="dxa"/>
          </w:tcPr>
          <w:p w:rsidR="00997802" w:rsidRPr="00CC3458" w:rsidRDefault="00DF1E70" w:rsidP="00CC34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CC3458">
              <w:rPr>
                <w:rFonts w:ascii="Times New Roman" w:hAnsi="Times New Roman"/>
                <w:sz w:val="20"/>
                <w:szCs w:val="20"/>
              </w:rPr>
              <w:t>Основной целью долгосрочного бюджетного планирования является определение</w:t>
            </w:r>
            <w:r w:rsidR="00CC3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458">
              <w:rPr>
                <w:rFonts w:ascii="Times New Roman" w:hAnsi="Times New Roman"/>
                <w:sz w:val="20"/>
                <w:szCs w:val="20"/>
              </w:rPr>
              <w:t>финансовых возможностей, условий и предпосылок для достижения ключевых целей и результатов государственной политики, сформулированных в Стратегии социально-экономического развития Ханты-Мансийского автономного округа – Югры до 2020 года и на период до 2030 года, других стратегических</w:t>
            </w:r>
            <w:r w:rsidR="00AE666F" w:rsidRPr="00CC3458">
              <w:rPr>
                <w:rFonts w:ascii="Times New Roman" w:hAnsi="Times New Roman"/>
                <w:sz w:val="20"/>
                <w:szCs w:val="20"/>
              </w:rPr>
              <w:t xml:space="preserve"> документах, указах Президента Российской Федерации и решениях Правительства Российской Федерации, при обеспечении долгосрочной сбалансированности и устойчивости бюджетной системы и повышении</w:t>
            </w:r>
            <w:proofErr w:type="gramEnd"/>
            <w:r w:rsidR="00AE666F" w:rsidRPr="00CC3458">
              <w:rPr>
                <w:rFonts w:ascii="Times New Roman" w:hAnsi="Times New Roman"/>
                <w:sz w:val="20"/>
                <w:szCs w:val="20"/>
              </w:rPr>
              <w:t xml:space="preserve"> эффективности бюджетных расходов. </w:t>
            </w:r>
          </w:p>
        </w:tc>
        <w:tc>
          <w:tcPr>
            <w:tcW w:w="1276" w:type="dxa"/>
          </w:tcPr>
          <w:p w:rsidR="00997802" w:rsidRPr="00003630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30" w:rsidRPr="00DC1F04" w:rsidTr="007A13B8">
        <w:trPr>
          <w:trHeight w:val="432"/>
        </w:trPr>
        <w:tc>
          <w:tcPr>
            <w:tcW w:w="522" w:type="dxa"/>
            <w:noWrap/>
          </w:tcPr>
          <w:p w:rsidR="00003630" w:rsidRPr="00003630" w:rsidRDefault="00003630" w:rsidP="000036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:rsidR="00003630" w:rsidRPr="00003630" w:rsidRDefault="00003630" w:rsidP="00003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C0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282" w:type="dxa"/>
            <w:gridSpan w:val="2"/>
          </w:tcPr>
          <w:p w:rsidR="00003630" w:rsidRPr="002E7EA3" w:rsidRDefault="00003630" w:rsidP="000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003630" w:rsidRPr="002E7EA3" w:rsidRDefault="002E7EA3" w:rsidP="000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</w:tcPr>
          <w:p w:rsidR="00003630" w:rsidRPr="002E7EA3" w:rsidRDefault="002E7EA3" w:rsidP="000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03630" w:rsidRPr="002E7EA3" w:rsidRDefault="002E7EA3" w:rsidP="000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</w:tcPr>
          <w:p w:rsidR="00003630" w:rsidRPr="002E7EA3" w:rsidRDefault="002E7EA3" w:rsidP="000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537" w:type="dxa"/>
          </w:tcPr>
          <w:p w:rsidR="00003630" w:rsidRPr="00CC3458" w:rsidRDefault="00003630" w:rsidP="000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630" w:rsidRPr="002E7EA3" w:rsidRDefault="00003630" w:rsidP="000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3630" w:rsidRPr="00DC1F04" w:rsidTr="00ED25F4">
        <w:trPr>
          <w:trHeight w:val="432"/>
        </w:trPr>
        <w:tc>
          <w:tcPr>
            <w:tcW w:w="15701" w:type="dxa"/>
            <w:gridSpan w:val="16"/>
            <w:noWrap/>
          </w:tcPr>
          <w:p w:rsidR="00003630" w:rsidRPr="00CC3458" w:rsidRDefault="00003630" w:rsidP="00003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458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2. Нормативное правовое регулирования в сфере бюджетного процесса и его совершенствование</w:t>
            </w:r>
          </w:p>
        </w:tc>
      </w:tr>
      <w:tr w:rsidR="00DB1182" w:rsidRPr="00DC1F04" w:rsidTr="007A13B8">
        <w:trPr>
          <w:trHeight w:val="432"/>
        </w:trPr>
        <w:tc>
          <w:tcPr>
            <w:tcW w:w="522" w:type="dxa"/>
            <w:noWrap/>
          </w:tcPr>
          <w:p w:rsidR="00997802" w:rsidRPr="00DC1F04" w:rsidRDefault="00003630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255" w:type="dxa"/>
            <w:gridSpan w:val="3"/>
            <w:noWrap/>
          </w:tcPr>
          <w:p w:rsidR="00997802" w:rsidRPr="002E7EA3" w:rsidRDefault="00003630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97802" w:rsidRPr="002E7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E7EA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97802" w:rsidRPr="002E7E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EA3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бюджетного процесса</w:t>
            </w:r>
          </w:p>
        </w:tc>
        <w:tc>
          <w:tcPr>
            <w:tcW w:w="1282" w:type="dxa"/>
            <w:gridSpan w:val="2"/>
            <w:noWrap/>
          </w:tcPr>
          <w:p w:rsidR="00997802" w:rsidRPr="00DC1F04" w:rsidRDefault="0099780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3"/>
            <w:noWrap/>
          </w:tcPr>
          <w:p w:rsidR="00997802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997802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</w:tcPr>
          <w:p w:rsidR="00997802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noWrap/>
          </w:tcPr>
          <w:p w:rsidR="00997802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37" w:type="dxa"/>
          </w:tcPr>
          <w:p w:rsidR="005951CC" w:rsidRPr="00CC3458" w:rsidRDefault="005951CC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3458">
              <w:rPr>
                <w:rFonts w:ascii="Times New Roman" w:hAnsi="Times New Roman" w:cs="Times New Roman"/>
              </w:rPr>
              <w:t>В целях качественной организации планирования и исполнения бюджета муниципального образования город Радужный в  течение 201</w:t>
            </w:r>
            <w:r w:rsidR="00CC3458">
              <w:rPr>
                <w:rFonts w:ascii="Times New Roman" w:hAnsi="Times New Roman" w:cs="Times New Roman"/>
              </w:rPr>
              <w:t>5</w:t>
            </w:r>
            <w:r w:rsidRPr="00CC3458">
              <w:rPr>
                <w:rFonts w:ascii="Times New Roman" w:hAnsi="Times New Roman" w:cs="Times New Roman"/>
              </w:rPr>
              <w:t xml:space="preserve"> года в рамках бюджетного законодательства разработано: </w:t>
            </w:r>
          </w:p>
          <w:p w:rsidR="005951CC" w:rsidRPr="00CC3458" w:rsidRDefault="007137E0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7137E0">
              <w:rPr>
                <w:rFonts w:ascii="Times New Roman" w:hAnsi="Times New Roman" w:cs="Times New Roman"/>
              </w:rPr>
              <w:t>14</w:t>
            </w:r>
            <w:r w:rsidR="005951CC" w:rsidRPr="00CC3458">
              <w:rPr>
                <w:rFonts w:ascii="Times New Roman" w:hAnsi="Times New Roman" w:cs="Times New Roman"/>
              </w:rPr>
              <w:t xml:space="preserve"> решений Думы города Радужный;</w:t>
            </w:r>
          </w:p>
          <w:p w:rsidR="005951CC" w:rsidRPr="00CC3458" w:rsidRDefault="007F32BA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32BA">
              <w:rPr>
                <w:rFonts w:ascii="Times New Roman" w:hAnsi="Times New Roman" w:cs="Times New Roman"/>
              </w:rPr>
              <w:t>35</w:t>
            </w:r>
            <w:r w:rsidR="005951CC" w:rsidRPr="00C71AA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951CC" w:rsidRPr="00CC3458">
              <w:rPr>
                <w:rFonts w:ascii="Times New Roman" w:hAnsi="Times New Roman" w:cs="Times New Roman"/>
              </w:rPr>
              <w:t>постановления администрации города Радужный;</w:t>
            </w:r>
          </w:p>
          <w:p w:rsidR="005951CC" w:rsidRPr="00757EA3" w:rsidRDefault="005951CC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7EA3">
              <w:rPr>
                <w:rFonts w:ascii="Times New Roman" w:hAnsi="Times New Roman" w:cs="Times New Roman"/>
              </w:rPr>
              <w:t>4 распоряжения администрации города Радужный;</w:t>
            </w:r>
          </w:p>
          <w:p w:rsidR="00997802" w:rsidRPr="00CC3458" w:rsidRDefault="00C71AAB" w:rsidP="0059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E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137E0" w:rsidRPr="00757E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57EA3">
              <w:rPr>
                <w:rFonts w:ascii="Times New Roman" w:hAnsi="Times New Roman"/>
                <w:sz w:val="20"/>
                <w:szCs w:val="20"/>
              </w:rPr>
              <w:t>43</w:t>
            </w:r>
            <w:r w:rsidR="005951CC" w:rsidRPr="00757EA3">
              <w:rPr>
                <w:rFonts w:ascii="Times New Roman" w:hAnsi="Times New Roman"/>
                <w:sz w:val="20"/>
                <w:szCs w:val="20"/>
              </w:rPr>
              <w:t xml:space="preserve"> приказов комитета финансов администрации города Радужный.</w:t>
            </w:r>
          </w:p>
        </w:tc>
        <w:tc>
          <w:tcPr>
            <w:tcW w:w="1276" w:type="dxa"/>
          </w:tcPr>
          <w:p w:rsidR="00997802" w:rsidRPr="00DC1F04" w:rsidRDefault="00997802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182" w:rsidRPr="00DC1F04" w:rsidTr="007A13B8">
        <w:trPr>
          <w:trHeight w:val="432"/>
        </w:trPr>
        <w:tc>
          <w:tcPr>
            <w:tcW w:w="522" w:type="dxa"/>
            <w:noWrap/>
          </w:tcPr>
          <w:p w:rsidR="00003630" w:rsidRDefault="00003630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55" w:type="dxa"/>
            <w:gridSpan w:val="3"/>
            <w:noWrap/>
          </w:tcPr>
          <w:p w:rsidR="00003630" w:rsidRPr="002E7EA3" w:rsidRDefault="00003630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2E7EA3">
              <w:rPr>
                <w:rFonts w:ascii="Times New Roman" w:hAnsi="Times New Roman"/>
                <w:sz w:val="24"/>
                <w:szCs w:val="24"/>
              </w:rPr>
              <w:t xml:space="preserve"> Организация планирования, исполнения бюджета города Радужного и формирование отчетности об исполнении бюджета</w:t>
            </w:r>
          </w:p>
        </w:tc>
        <w:tc>
          <w:tcPr>
            <w:tcW w:w="1282" w:type="dxa"/>
            <w:gridSpan w:val="2"/>
            <w:noWrap/>
          </w:tcPr>
          <w:p w:rsidR="00003630" w:rsidRPr="00DC1F04" w:rsidRDefault="00003630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3"/>
            <w:noWrap/>
          </w:tcPr>
          <w:p w:rsidR="00003630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003630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</w:tcPr>
          <w:p w:rsidR="00003630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noWrap/>
          </w:tcPr>
          <w:p w:rsidR="00003630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37" w:type="dxa"/>
          </w:tcPr>
          <w:p w:rsidR="00592102" w:rsidRDefault="00363E1C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1FCC">
              <w:rPr>
                <w:rFonts w:ascii="Times New Roman" w:hAnsi="Times New Roman" w:cs="Times New Roman"/>
              </w:rPr>
              <w:t>С</w:t>
            </w:r>
            <w:r w:rsidR="00671FCC" w:rsidRPr="00671FCC">
              <w:rPr>
                <w:rFonts w:ascii="Times New Roman" w:hAnsi="Times New Roman" w:cs="Times New Roman"/>
              </w:rPr>
              <w:t xml:space="preserve">формирован проект решения Думы города Радужный «О бюджете муниципального образования город Радужный на 2016 год» в соответствии с Бюджетным кодексом Российской Федерации, решением Думы города Радужный от 18.06.2015 №594 «О </w:t>
            </w:r>
            <w:proofErr w:type="gramStart"/>
            <w:r w:rsidR="00671FCC" w:rsidRPr="00671FCC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="00671FCC" w:rsidRPr="00671FCC">
              <w:rPr>
                <w:rFonts w:ascii="Times New Roman" w:hAnsi="Times New Roman" w:cs="Times New Roman"/>
              </w:rPr>
              <w:t xml:space="preserve"> об отдельных вопросах организации и осуществления бюджетного процесса в городе Радужный» (с изменениями от 23.10.2015 №20).</w:t>
            </w:r>
          </w:p>
          <w:p w:rsidR="00671FCC" w:rsidRPr="00671FCC" w:rsidRDefault="00671FCC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71FCC">
              <w:rPr>
                <w:rFonts w:ascii="Times New Roman" w:hAnsi="Times New Roman" w:cs="Times New Roman"/>
              </w:rPr>
              <w:t>Бюджет муниципального образования города Радужный принят и утвержден решением Думы города Радужный  от 18.12.2015 №51 «О бюджете муниципального образования город Радужный на 2016 год»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1FCC" w:rsidRDefault="00671FCC" w:rsidP="00671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3458">
              <w:rPr>
                <w:rFonts w:ascii="Times New Roman" w:hAnsi="Times New Roman" w:cs="Times New Roman"/>
              </w:rPr>
              <w:t>Цели и задачи бюджетной, налоговой и долговой политики муниципального образования город Радужный легли в основу формирования проекта бюджета муниципального образования город Радужный на 201</w:t>
            </w:r>
            <w:r>
              <w:rPr>
                <w:rFonts w:ascii="Times New Roman" w:hAnsi="Times New Roman" w:cs="Times New Roman"/>
              </w:rPr>
              <w:t>6</w:t>
            </w:r>
            <w:r w:rsidRPr="00CC3458">
              <w:rPr>
                <w:rFonts w:ascii="Times New Roman" w:hAnsi="Times New Roman" w:cs="Times New Roman"/>
              </w:rPr>
              <w:t xml:space="preserve"> год.</w:t>
            </w:r>
          </w:p>
          <w:p w:rsidR="00056DA6" w:rsidRPr="00CC3458" w:rsidRDefault="00363E1C" w:rsidP="00363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56DA6" w:rsidRPr="00CC3458">
              <w:rPr>
                <w:rFonts w:ascii="Times New Roman" w:hAnsi="Times New Roman"/>
                <w:sz w:val="20"/>
                <w:szCs w:val="20"/>
              </w:rPr>
              <w:t>Организация исполнения бюджета муниципального образования город Радужный в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6DA6" w:rsidRPr="00CC3458">
              <w:rPr>
                <w:rFonts w:ascii="Times New Roman" w:hAnsi="Times New Roman"/>
                <w:sz w:val="20"/>
                <w:szCs w:val="20"/>
              </w:rPr>
              <w:t xml:space="preserve"> году осуществлялась в соответствии с решением Думы города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56DA6" w:rsidRPr="00CC3458">
              <w:rPr>
                <w:rFonts w:ascii="Times New Roman" w:hAnsi="Times New Roman"/>
                <w:sz w:val="20"/>
                <w:szCs w:val="20"/>
              </w:rPr>
              <w:t>2.12.201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56DA6" w:rsidRPr="00CC345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  <w:r w:rsidR="00056DA6" w:rsidRPr="00CC3458">
              <w:rPr>
                <w:rFonts w:ascii="Times New Roman" w:hAnsi="Times New Roman"/>
                <w:sz w:val="20"/>
                <w:szCs w:val="20"/>
              </w:rPr>
              <w:t xml:space="preserve"> «О бюджете муниципального образо</w:t>
            </w:r>
            <w:r>
              <w:rPr>
                <w:rFonts w:ascii="Times New Roman" w:hAnsi="Times New Roman"/>
                <w:sz w:val="20"/>
                <w:szCs w:val="20"/>
              </w:rPr>
              <w:t>вания город Радужный на 2015</w:t>
            </w:r>
            <w:r w:rsidR="00056DA6" w:rsidRPr="00CC3458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56DA6" w:rsidRPr="00CC3458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56DA6" w:rsidRPr="00CC3458">
              <w:rPr>
                <w:rFonts w:ascii="Times New Roman" w:hAnsi="Times New Roman"/>
                <w:sz w:val="20"/>
                <w:szCs w:val="20"/>
              </w:rPr>
              <w:t xml:space="preserve"> годов», сводной бюджетной росписью расходов бюджета города Радужный на 201</w:t>
            </w:r>
            <w:r>
              <w:rPr>
                <w:rFonts w:ascii="Times New Roman" w:hAnsi="Times New Roman"/>
                <w:sz w:val="20"/>
                <w:szCs w:val="20"/>
              </w:rPr>
              <w:t>5-2017</w:t>
            </w:r>
            <w:r w:rsidR="00056DA6" w:rsidRPr="00CC3458">
              <w:rPr>
                <w:rFonts w:ascii="Times New Roman" w:hAnsi="Times New Roman"/>
                <w:sz w:val="20"/>
                <w:szCs w:val="20"/>
              </w:rPr>
              <w:t xml:space="preserve"> годы и кассовым планом.</w:t>
            </w:r>
          </w:p>
          <w:p w:rsidR="000A4BF0" w:rsidRPr="00CC3458" w:rsidRDefault="00363E1C" w:rsidP="000A4BF0">
            <w:pPr>
              <w:pStyle w:val="a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="00592102">
              <w:rPr>
                <w:sz w:val="20"/>
                <w:szCs w:val="20"/>
                <w:lang w:eastAsia="ru-RU"/>
              </w:rPr>
              <w:t>С</w:t>
            </w:r>
            <w:r w:rsidR="000A4BF0" w:rsidRPr="00757EA3">
              <w:rPr>
                <w:sz w:val="20"/>
                <w:szCs w:val="20"/>
                <w:lang w:eastAsia="ru-RU"/>
              </w:rPr>
              <w:t>оставлен годово</w:t>
            </w:r>
            <w:r w:rsidR="00592102">
              <w:rPr>
                <w:sz w:val="20"/>
                <w:szCs w:val="20"/>
                <w:lang w:eastAsia="ru-RU"/>
              </w:rPr>
              <w:t>й</w:t>
            </w:r>
            <w:r w:rsidR="000A4BF0" w:rsidRPr="00757EA3">
              <w:rPr>
                <w:sz w:val="20"/>
                <w:szCs w:val="20"/>
                <w:lang w:eastAsia="ru-RU"/>
              </w:rPr>
              <w:t xml:space="preserve"> отчет об исполнении бюджета муниципального образования за 2014 год в соответствии с приказами Министерства финансов РФ от 28 декабря 2010 года № 191н «Об </w:t>
            </w:r>
            <w:r w:rsidR="000A4BF0" w:rsidRPr="00757EA3">
              <w:rPr>
                <w:sz w:val="20"/>
                <w:szCs w:val="20"/>
                <w:lang w:eastAsia="ru-RU"/>
              </w:rPr>
              <w:lastRenderedPageBreak/>
              <w:t>утверждении инструкции о порядке составления и представления годовой, квартальной и месячной отчетности об исполнении бюджетов бюджетной системы РФ»    и    от   25 марта  2011 года № 33н «Об утверждении инструкции о порядке составления и представления годовой, квартальной</w:t>
            </w:r>
            <w:proofErr w:type="gramEnd"/>
            <w:r w:rsidR="000A4BF0" w:rsidRPr="00757EA3">
              <w:rPr>
                <w:sz w:val="20"/>
                <w:szCs w:val="20"/>
                <w:lang w:eastAsia="ru-RU"/>
              </w:rPr>
              <w:t xml:space="preserve"> и бухгалтерской отчетности государственных (муниципальных) бюджетных и автономных учреждений».</w:t>
            </w:r>
          </w:p>
          <w:p w:rsidR="00003630" w:rsidRPr="00CC3458" w:rsidRDefault="00852C91" w:rsidP="00671FCC">
            <w:pPr>
              <w:pStyle w:val="a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 w:rsidR="00056DA6" w:rsidRPr="00CC3458">
              <w:rPr>
                <w:sz w:val="20"/>
                <w:szCs w:val="20"/>
                <w:lang w:eastAsia="ru-RU"/>
              </w:rPr>
              <w:t>В рамках этой работы проверена предоставленная отчетность семи главных ра</w:t>
            </w:r>
            <w:r>
              <w:rPr>
                <w:sz w:val="20"/>
                <w:szCs w:val="20"/>
                <w:lang w:eastAsia="ru-RU"/>
              </w:rPr>
              <w:t>спорядителей бюджетных средств.</w:t>
            </w:r>
            <w:r w:rsidR="00056DA6" w:rsidRPr="00CC3458">
              <w:rPr>
                <w:sz w:val="20"/>
                <w:szCs w:val="20"/>
                <w:lang w:eastAsia="ru-RU"/>
              </w:rPr>
              <w:t xml:space="preserve"> В результате годовой отчет составлен своевременно и в полном объеме</w:t>
            </w:r>
            <w:r w:rsidR="00592102">
              <w:rPr>
                <w:sz w:val="20"/>
                <w:szCs w:val="20"/>
                <w:lang w:eastAsia="ru-RU"/>
              </w:rPr>
              <w:t>.</w:t>
            </w:r>
            <w:r w:rsidR="00056DA6" w:rsidRPr="00CC345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03630" w:rsidRPr="00DC1F04" w:rsidRDefault="00003630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182" w:rsidRPr="00DC1F04" w:rsidTr="007A13B8">
        <w:trPr>
          <w:trHeight w:val="432"/>
        </w:trPr>
        <w:tc>
          <w:tcPr>
            <w:tcW w:w="522" w:type="dxa"/>
            <w:noWrap/>
          </w:tcPr>
          <w:p w:rsidR="00003630" w:rsidRDefault="00003630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55" w:type="dxa"/>
            <w:gridSpan w:val="3"/>
            <w:noWrap/>
          </w:tcPr>
          <w:p w:rsidR="00003630" w:rsidRPr="002E7EA3" w:rsidRDefault="00003630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  <w:r w:rsidRPr="002E7EA3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оценки качества финансового менеджмента, осуществляемого главными распорядителями средств города, главными администраторами доходов бюджета города</w:t>
            </w:r>
          </w:p>
        </w:tc>
        <w:tc>
          <w:tcPr>
            <w:tcW w:w="1282" w:type="dxa"/>
            <w:gridSpan w:val="2"/>
            <w:noWrap/>
          </w:tcPr>
          <w:p w:rsidR="00003630" w:rsidRPr="00DC1F04" w:rsidRDefault="00003630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3"/>
            <w:noWrap/>
          </w:tcPr>
          <w:p w:rsidR="00003630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003630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</w:tcPr>
          <w:p w:rsidR="00003630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noWrap/>
          </w:tcPr>
          <w:p w:rsidR="00003630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37" w:type="dxa"/>
          </w:tcPr>
          <w:p w:rsidR="00003630" w:rsidRPr="00852C91" w:rsidRDefault="00852C91" w:rsidP="00852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56DA6" w:rsidRPr="00852C91">
              <w:rPr>
                <w:rFonts w:ascii="Times New Roman" w:hAnsi="Times New Roman"/>
                <w:sz w:val="20"/>
                <w:szCs w:val="20"/>
              </w:rPr>
              <w:t>В целях оптимизации функций муниципального управления, в соответствии с</w:t>
            </w:r>
            <w:r w:rsidR="00B44C5F" w:rsidRPr="00852C91">
              <w:rPr>
                <w:rFonts w:ascii="Times New Roman" w:hAnsi="Times New Roman"/>
                <w:sz w:val="20"/>
                <w:szCs w:val="20"/>
              </w:rPr>
              <w:t xml:space="preserve"> распоряжением администрации города от 30.07.2014 №678р «Об утверждении Положения об организации проведения мониторинга качества финансового менеджмента</w:t>
            </w:r>
            <w:r w:rsidR="00B265F6" w:rsidRPr="00852C91">
              <w:rPr>
                <w:rFonts w:ascii="Times New Roman" w:hAnsi="Times New Roman"/>
                <w:sz w:val="20"/>
                <w:szCs w:val="20"/>
              </w:rPr>
              <w:t>, осуществляемого главными распорядителями средств бюджета города Радужный»</w:t>
            </w:r>
            <w:r w:rsidR="00056DA6" w:rsidRPr="00852C91">
              <w:rPr>
                <w:rFonts w:ascii="Times New Roman" w:hAnsi="Times New Roman"/>
                <w:sz w:val="20"/>
                <w:szCs w:val="20"/>
              </w:rPr>
              <w:t xml:space="preserve">, проведен мониторинг </w:t>
            </w:r>
            <w:r w:rsidR="00B265F6" w:rsidRPr="00852C91">
              <w:rPr>
                <w:rFonts w:ascii="Times New Roman" w:hAnsi="Times New Roman"/>
                <w:sz w:val="20"/>
                <w:szCs w:val="20"/>
              </w:rPr>
              <w:t xml:space="preserve">по итогам </w:t>
            </w:r>
            <w:r w:rsidR="00056DA6" w:rsidRPr="00852C9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265F6" w:rsidRPr="00852C91">
              <w:rPr>
                <w:rFonts w:ascii="Times New Roman" w:hAnsi="Times New Roman"/>
                <w:sz w:val="20"/>
                <w:szCs w:val="20"/>
              </w:rPr>
              <w:t>4</w:t>
            </w:r>
            <w:r w:rsidR="00056DA6" w:rsidRPr="00852C9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265F6" w:rsidRPr="00852C91">
              <w:rPr>
                <w:rFonts w:ascii="Times New Roman" w:hAnsi="Times New Roman"/>
                <w:sz w:val="20"/>
                <w:szCs w:val="20"/>
              </w:rPr>
              <w:t>а</w:t>
            </w:r>
            <w:r w:rsidR="00056DA6" w:rsidRPr="00852C91">
              <w:rPr>
                <w:rFonts w:ascii="Times New Roman" w:hAnsi="Times New Roman"/>
                <w:sz w:val="20"/>
                <w:szCs w:val="20"/>
              </w:rPr>
              <w:t xml:space="preserve">. Мониторинг выявил наличие результатов </w:t>
            </w:r>
            <w:proofErr w:type="gramStart"/>
            <w:r w:rsidR="00056DA6" w:rsidRPr="00852C91">
              <w:rPr>
                <w:rFonts w:ascii="Times New Roman" w:hAnsi="Times New Roman"/>
                <w:sz w:val="20"/>
                <w:szCs w:val="20"/>
              </w:rPr>
              <w:t>контроля  за</w:t>
            </w:r>
            <w:proofErr w:type="gramEnd"/>
            <w:r w:rsidR="00056DA6" w:rsidRPr="00852C91">
              <w:rPr>
                <w:rFonts w:ascii="Times New Roman" w:hAnsi="Times New Roman"/>
                <w:sz w:val="20"/>
                <w:szCs w:val="20"/>
              </w:rPr>
              <w:t xml:space="preserve"> исполнением муниципальных заданий  главными распорядителями. Подведены итоговые оценки качества финансового менеджмента ГРБС (в баллах), даны рекомендации по повышению качества в дальнейшем. </w:t>
            </w:r>
            <w:r w:rsidRPr="00852C91">
              <w:rPr>
                <w:rFonts w:ascii="Times New Roman" w:hAnsi="Times New Roman"/>
                <w:sz w:val="20"/>
                <w:szCs w:val="20"/>
              </w:rPr>
              <w:t>Мониторинг по итогам 2015 года будет проведен в апреле 2016 года.</w:t>
            </w:r>
          </w:p>
        </w:tc>
        <w:tc>
          <w:tcPr>
            <w:tcW w:w="1276" w:type="dxa"/>
          </w:tcPr>
          <w:p w:rsidR="00003630" w:rsidRPr="00852C91" w:rsidRDefault="00003630" w:rsidP="00B11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182" w:rsidRPr="00DC1F04" w:rsidTr="007A13B8">
        <w:trPr>
          <w:trHeight w:val="432"/>
        </w:trPr>
        <w:tc>
          <w:tcPr>
            <w:tcW w:w="522" w:type="dxa"/>
            <w:noWrap/>
          </w:tcPr>
          <w:p w:rsidR="00003630" w:rsidRDefault="00003630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55" w:type="dxa"/>
            <w:gridSpan w:val="3"/>
            <w:noWrap/>
          </w:tcPr>
          <w:p w:rsidR="00003630" w:rsidRPr="002E7EA3" w:rsidRDefault="00003630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  <w:r w:rsidRPr="002E7EA3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комитета финансов администрации города</w:t>
            </w:r>
          </w:p>
        </w:tc>
        <w:tc>
          <w:tcPr>
            <w:tcW w:w="1282" w:type="dxa"/>
            <w:gridSpan w:val="2"/>
            <w:noWrap/>
          </w:tcPr>
          <w:p w:rsidR="00003630" w:rsidRPr="00DC1F04" w:rsidRDefault="00003630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3"/>
            <w:noWrap/>
          </w:tcPr>
          <w:p w:rsidR="00003630" w:rsidRPr="00DC1F04" w:rsidRDefault="00852C91" w:rsidP="0085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7EA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261</w:t>
            </w:r>
            <w:r w:rsidR="002E7EA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gridSpan w:val="2"/>
            <w:noWrap/>
          </w:tcPr>
          <w:p w:rsidR="00003630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2C91">
              <w:rPr>
                <w:rFonts w:ascii="Times New Roman" w:hAnsi="Times New Roman"/>
                <w:sz w:val="24"/>
                <w:szCs w:val="24"/>
              </w:rPr>
              <w:t>4 672,73</w:t>
            </w:r>
          </w:p>
        </w:tc>
        <w:tc>
          <w:tcPr>
            <w:tcW w:w="1137" w:type="dxa"/>
            <w:gridSpan w:val="2"/>
            <w:noWrap/>
          </w:tcPr>
          <w:p w:rsidR="00003630" w:rsidRPr="00DC1F04" w:rsidRDefault="002E7EA3" w:rsidP="0085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2C91">
              <w:rPr>
                <w:rFonts w:ascii="Times New Roman" w:hAnsi="Times New Roman"/>
                <w:sz w:val="24"/>
                <w:szCs w:val="24"/>
              </w:rPr>
              <w:t>1588,27</w:t>
            </w:r>
          </w:p>
        </w:tc>
        <w:tc>
          <w:tcPr>
            <w:tcW w:w="991" w:type="dxa"/>
            <w:noWrap/>
          </w:tcPr>
          <w:p w:rsidR="00003630" w:rsidRPr="00DC1F04" w:rsidRDefault="002E7EA3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2C91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4537" w:type="dxa"/>
            <w:shd w:val="clear" w:color="auto" w:fill="FFFFFF" w:themeFill="background1"/>
          </w:tcPr>
          <w:p w:rsidR="00003630" w:rsidRPr="00852C91" w:rsidRDefault="00B44C5F" w:rsidP="00B11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2C91">
              <w:rPr>
                <w:rFonts w:ascii="Times New Roman" w:hAnsi="Times New Roman"/>
                <w:sz w:val="20"/>
                <w:szCs w:val="20"/>
              </w:rPr>
              <w:t>Результатом реализации данного мероприятия является материально-техническое обеспечение деятельности комитета финансов администрации города в объеме, необходимом для своевременного и качественного выполнения возложенных на него полномочий.</w:t>
            </w:r>
          </w:p>
        </w:tc>
        <w:tc>
          <w:tcPr>
            <w:tcW w:w="1276" w:type="dxa"/>
          </w:tcPr>
          <w:p w:rsidR="00003630" w:rsidRPr="00852C91" w:rsidRDefault="00003630" w:rsidP="00B11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182" w:rsidRPr="00DC1F04" w:rsidTr="007A13B8">
        <w:trPr>
          <w:trHeight w:val="432"/>
        </w:trPr>
        <w:tc>
          <w:tcPr>
            <w:tcW w:w="522" w:type="dxa"/>
            <w:noWrap/>
          </w:tcPr>
          <w:p w:rsidR="00997802" w:rsidRPr="00DC1F04" w:rsidRDefault="00997802" w:rsidP="00DC1F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  <w:gridSpan w:val="3"/>
            <w:noWrap/>
          </w:tcPr>
          <w:p w:rsidR="00997802" w:rsidRPr="00B10C0C" w:rsidRDefault="00997802" w:rsidP="00003630">
            <w:pPr>
              <w:ind w:right="2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C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задаче </w:t>
            </w:r>
            <w:r w:rsidR="00003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noWrap/>
          </w:tcPr>
          <w:p w:rsidR="00997802" w:rsidRPr="00DC1F04" w:rsidRDefault="0099780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noWrap/>
          </w:tcPr>
          <w:p w:rsidR="00997802" w:rsidRPr="002E7EA3" w:rsidRDefault="002E7EA3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2C91">
              <w:rPr>
                <w:rFonts w:ascii="Times New Roman" w:hAnsi="Times New Roman"/>
                <w:b/>
                <w:sz w:val="24"/>
                <w:szCs w:val="24"/>
              </w:rPr>
              <w:t>6 261,00</w:t>
            </w:r>
          </w:p>
        </w:tc>
        <w:tc>
          <w:tcPr>
            <w:tcW w:w="1277" w:type="dxa"/>
            <w:gridSpan w:val="2"/>
            <w:noWrap/>
          </w:tcPr>
          <w:p w:rsidR="00997802" w:rsidRPr="002E7EA3" w:rsidRDefault="002E7EA3" w:rsidP="00852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2C91">
              <w:rPr>
                <w:rFonts w:ascii="Times New Roman" w:hAnsi="Times New Roman"/>
                <w:b/>
                <w:sz w:val="24"/>
                <w:szCs w:val="24"/>
              </w:rPr>
              <w:t>4 672,73</w:t>
            </w:r>
          </w:p>
        </w:tc>
        <w:tc>
          <w:tcPr>
            <w:tcW w:w="1137" w:type="dxa"/>
            <w:gridSpan w:val="2"/>
            <w:noWrap/>
          </w:tcPr>
          <w:p w:rsidR="00997802" w:rsidRPr="002E7EA3" w:rsidRDefault="00852C91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-1588,27</w:t>
            </w:r>
          </w:p>
        </w:tc>
        <w:tc>
          <w:tcPr>
            <w:tcW w:w="991" w:type="dxa"/>
            <w:noWrap/>
          </w:tcPr>
          <w:p w:rsidR="00997802" w:rsidRPr="002E7EA3" w:rsidRDefault="002E7EA3" w:rsidP="00852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52C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E7E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52C91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537" w:type="dxa"/>
          </w:tcPr>
          <w:p w:rsidR="00997802" w:rsidRPr="00852C91" w:rsidRDefault="00997802" w:rsidP="00B11863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02" w:rsidRPr="00852C91" w:rsidRDefault="00997802" w:rsidP="00B11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802" w:rsidRPr="00DC1F04" w:rsidTr="00ED25F4">
        <w:trPr>
          <w:trHeight w:val="432"/>
        </w:trPr>
        <w:tc>
          <w:tcPr>
            <w:tcW w:w="15701" w:type="dxa"/>
            <w:gridSpan w:val="16"/>
            <w:noWrap/>
          </w:tcPr>
          <w:p w:rsidR="00997802" w:rsidRPr="00852C91" w:rsidRDefault="002E7EA3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C91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3. Обеспечение своевременного контроля в финансово-бюджетной сфере</w:t>
            </w:r>
          </w:p>
        </w:tc>
      </w:tr>
      <w:tr w:rsidR="00DB1182" w:rsidRPr="00DC1F04" w:rsidTr="007A13B8">
        <w:trPr>
          <w:trHeight w:val="432"/>
        </w:trPr>
        <w:tc>
          <w:tcPr>
            <w:tcW w:w="522" w:type="dxa"/>
            <w:noWrap/>
          </w:tcPr>
          <w:p w:rsidR="00997802" w:rsidRPr="00DC1F04" w:rsidRDefault="002E7EA3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55" w:type="dxa"/>
            <w:gridSpan w:val="3"/>
            <w:noWrap/>
          </w:tcPr>
          <w:p w:rsidR="00997802" w:rsidRPr="0037485E" w:rsidRDefault="002E7EA3" w:rsidP="002E7E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8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97802" w:rsidRPr="0037485E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  <w:r w:rsidR="006E79D1" w:rsidRPr="0037485E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контроля за операциями с </w:t>
            </w:r>
            <w:r w:rsidR="006E79D1" w:rsidRPr="00374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бюджетными средствами получателей средств бюджета муниципального образования, средствами </w:t>
            </w:r>
            <w:proofErr w:type="gramStart"/>
            <w:r w:rsidR="006E79D1" w:rsidRPr="0037485E">
              <w:rPr>
                <w:rFonts w:ascii="Times New Roman" w:hAnsi="Times New Roman"/>
                <w:sz w:val="24"/>
                <w:szCs w:val="24"/>
              </w:rPr>
              <w:t>администраторов источников финансирования дефицита бюджета города</w:t>
            </w:r>
            <w:proofErr w:type="gramEnd"/>
          </w:p>
        </w:tc>
        <w:tc>
          <w:tcPr>
            <w:tcW w:w="1282" w:type="dxa"/>
            <w:gridSpan w:val="2"/>
            <w:noWrap/>
          </w:tcPr>
          <w:p w:rsidR="00997802" w:rsidRPr="006E79D1" w:rsidRDefault="0099780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24" w:type="dxa"/>
            <w:gridSpan w:val="3"/>
            <w:noWrap/>
          </w:tcPr>
          <w:p w:rsidR="00997802" w:rsidRPr="006E79D1" w:rsidRDefault="006E79D1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997802" w:rsidRPr="006E79D1" w:rsidRDefault="006E79D1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</w:tcPr>
          <w:p w:rsidR="00997802" w:rsidRPr="006E79D1" w:rsidRDefault="006E79D1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noWrap/>
          </w:tcPr>
          <w:p w:rsidR="00997802" w:rsidRPr="006E79D1" w:rsidRDefault="006E79D1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37" w:type="dxa"/>
          </w:tcPr>
          <w:p w:rsidR="00997802" w:rsidRPr="00852C91" w:rsidRDefault="0004532F" w:rsidP="0025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977DB" w:rsidRPr="00852C91">
              <w:rPr>
                <w:rFonts w:ascii="Times New Roman" w:hAnsi="Times New Roman"/>
                <w:sz w:val="20"/>
                <w:szCs w:val="20"/>
              </w:rPr>
              <w:t xml:space="preserve">В целях осуществления контроля с бюджетными средствами участникам бюджетного процесса открываются и ведутся комитетом </w:t>
            </w:r>
            <w:r w:rsidR="005977DB" w:rsidRPr="00852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 лицевые счета в соответствие с приказом от </w:t>
            </w:r>
            <w:r w:rsidR="000A4BF0" w:rsidRPr="00757EA3">
              <w:rPr>
                <w:rFonts w:ascii="Times New Roman" w:hAnsi="Times New Roman"/>
                <w:sz w:val="20"/>
                <w:szCs w:val="20"/>
              </w:rPr>
              <w:t xml:space="preserve">24.12.2010 г. № 24 «О Порядке открытия и ведения лицевых счетов». </w:t>
            </w:r>
            <w:r w:rsidR="005977DB" w:rsidRPr="00757EA3">
              <w:rPr>
                <w:rFonts w:ascii="Times New Roman" w:hAnsi="Times New Roman"/>
                <w:sz w:val="20"/>
                <w:szCs w:val="20"/>
              </w:rPr>
              <w:t>Операции производятся</w:t>
            </w:r>
            <w:r w:rsidR="00337AA9" w:rsidRPr="00757EA3">
              <w:rPr>
                <w:rFonts w:ascii="Times New Roman" w:hAnsi="Times New Roman"/>
                <w:sz w:val="20"/>
                <w:szCs w:val="20"/>
              </w:rPr>
              <w:t xml:space="preserve"> в рамках автоматического</w:t>
            </w:r>
            <w:r w:rsidR="00337AA9" w:rsidRPr="00852C91">
              <w:rPr>
                <w:rFonts w:ascii="Times New Roman" w:hAnsi="Times New Roman"/>
                <w:sz w:val="20"/>
                <w:szCs w:val="20"/>
              </w:rPr>
              <w:t xml:space="preserve"> контроля с использование программного продукта АС «Бюджет» </w:t>
            </w:r>
            <w:r w:rsidR="00566608" w:rsidRPr="00852C91">
              <w:rPr>
                <w:rFonts w:ascii="Times New Roman" w:hAnsi="Times New Roman"/>
                <w:sz w:val="20"/>
                <w:szCs w:val="20"/>
              </w:rPr>
              <w:t>в пределах доведенных лимитов бюджетных обязательств, с учетом ранее осуществленных платежей и восстановленных кассовых расходов по соответствующим показателям бюджетной классификации Российской Федерации и при налич</w:t>
            </w:r>
            <w:proofErr w:type="gramStart"/>
            <w:r w:rsidR="00566608" w:rsidRPr="00852C91">
              <w:rPr>
                <w:rFonts w:ascii="Times New Roman" w:hAnsi="Times New Roman"/>
                <w:sz w:val="20"/>
                <w:szCs w:val="20"/>
              </w:rPr>
              <w:t>ии у у</w:t>
            </w:r>
            <w:proofErr w:type="gramEnd"/>
            <w:r w:rsidR="00566608" w:rsidRPr="00852C91">
              <w:rPr>
                <w:rFonts w:ascii="Times New Roman" w:hAnsi="Times New Roman"/>
                <w:sz w:val="20"/>
                <w:szCs w:val="20"/>
              </w:rPr>
              <w:t>частника бюджетного процесса денежного обязательства.</w:t>
            </w:r>
          </w:p>
        </w:tc>
        <w:tc>
          <w:tcPr>
            <w:tcW w:w="1276" w:type="dxa"/>
          </w:tcPr>
          <w:p w:rsidR="00997802" w:rsidRPr="00DC1F04" w:rsidRDefault="009978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1E" w:rsidRPr="00DC1F04" w:rsidTr="007A13B8">
        <w:trPr>
          <w:trHeight w:val="432"/>
        </w:trPr>
        <w:tc>
          <w:tcPr>
            <w:tcW w:w="522" w:type="dxa"/>
            <w:noWrap/>
          </w:tcPr>
          <w:p w:rsidR="007D091E" w:rsidRPr="00DC1F04" w:rsidRDefault="007D091E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255" w:type="dxa"/>
            <w:gridSpan w:val="3"/>
            <w:noWrap/>
          </w:tcPr>
          <w:p w:rsidR="007D091E" w:rsidRPr="00E3760F" w:rsidRDefault="007D091E" w:rsidP="002E7E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60F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Pr="00E3760F">
              <w:rPr>
                <w:rFonts w:ascii="Times New Roman" w:hAnsi="Times New Roman"/>
                <w:sz w:val="24"/>
                <w:szCs w:val="24"/>
              </w:rPr>
              <w:t xml:space="preserve"> Осуществление </w:t>
            </w:r>
            <w:proofErr w:type="gramStart"/>
            <w:r w:rsidRPr="00E3760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3760F">
              <w:rPr>
                <w:rFonts w:ascii="Times New Roman" w:hAnsi="Times New Roman"/>
                <w:sz w:val="24"/>
                <w:szCs w:val="24"/>
              </w:rPr>
              <w:t xml:space="preserve"> соблюдением получателями муниципальных гарантий условий выделения, получения, погашения</w:t>
            </w:r>
          </w:p>
        </w:tc>
        <w:tc>
          <w:tcPr>
            <w:tcW w:w="1282" w:type="dxa"/>
            <w:gridSpan w:val="2"/>
            <w:noWrap/>
          </w:tcPr>
          <w:p w:rsidR="007D091E" w:rsidRPr="006E79D1" w:rsidRDefault="007D091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3"/>
            <w:noWrap/>
          </w:tcPr>
          <w:p w:rsidR="007D091E" w:rsidRPr="006E79D1" w:rsidRDefault="007D091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7D091E" w:rsidRPr="006E79D1" w:rsidRDefault="007D091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</w:tcPr>
          <w:p w:rsidR="007D091E" w:rsidRPr="006E79D1" w:rsidRDefault="007D091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noWrap/>
          </w:tcPr>
          <w:p w:rsidR="007D091E" w:rsidRPr="006E79D1" w:rsidRDefault="007D091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37" w:type="dxa"/>
          </w:tcPr>
          <w:p w:rsidR="007D091E" w:rsidRPr="00852C91" w:rsidRDefault="0004532F" w:rsidP="007A1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D091E" w:rsidRPr="00852C91">
              <w:rPr>
                <w:rFonts w:ascii="Times New Roman" w:hAnsi="Times New Roman"/>
                <w:sz w:val="20"/>
                <w:szCs w:val="20"/>
              </w:rPr>
              <w:t>Учет предоставления муниципальных гарантий, исполнение принципалом своих обязательств, платежей по муниципальным гарантиям осуществляется комите</w:t>
            </w:r>
            <w:r>
              <w:rPr>
                <w:rFonts w:ascii="Times New Roman" w:hAnsi="Times New Roman"/>
                <w:sz w:val="20"/>
                <w:szCs w:val="20"/>
              </w:rPr>
              <w:t>том финансов. Учет и регистрация</w:t>
            </w:r>
            <w:r w:rsidR="007D091E" w:rsidRPr="00852C91">
              <w:rPr>
                <w:rFonts w:ascii="Times New Roman" w:hAnsi="Times New Roman"/>
                <w:sz w:val="20"/>
                <w:szCs w:val="20"/>
              </w:rPr>
              <w:t xml:space="preserve"> муниципальных гарантий осуществляется в муниципальной долговой книге города Радужный в </w:t>
            </w:r>
            <w:r w:rsidR="007D091E" w:rsidRPr="00757EA3">
              <w:rPr>
                <w:rFonts w:ascii="Times New Roman" w:hAnsi="Times New Roman"/>
                <w:sz w:val="20"/>
                <w:szCs w:val="20"/>
              </w:rPr>
              <w:t>соответствии с Порядком веден</w:t>
            </w:r>
            <w:r w:rsidRPr="00757EA3">
              <w:rPr>
                <w:rFonts w:ascii="Times New Roman" w:hAnsi="Times New Roman"/>
                <w:sz w:val="20"/>
                <w:szCs w:val="20"/>
              </w:rPr>
              <w:t xml:space="preserve">ия муниципальной долговой книги, </w:t>
            </w:r>
            <w:r w:rsidR="007D091E" w:rsidRPr="00757EA3">
              <w:rPr>
                <w:rFonts w:ascii="Times New Roman" w:hAnsi="Times New Roman"/>
                <w:sz w:val="20"/>
                <w:szCs w:val="20"/>
              </w:rPr>
              <w:t xml:space="preserve">утвержденным </w:t>
            </w:r>
            <w:r w:rsidR="007A13B8">
              <w:rPr>
                <w:rFonts w:ascii="Times New Roman" w:hAnsi="Times New Roman"/>
                <w:sz w:val="20"/>
                <w:szCs w:val="20"/>
              </w:rPr>
              <w:t>п</w:t>
            </w:r>
            <w:r w:rsidR="007D091E" w:rsidRPr="00757EA3">
              <w:rPr>
                <w:rFonts w:ascii="Times New Roman" w:hAnsi="Times New Roman"/>
                <w:sz w:val="20"/>
                <w:szCs w:val="20"/>
              </w:rPr>
              <w:t>остановлением администр</w:t>
            </w:r>
            <w:r w:rsidRPr="00757EA3">
              <w:rPr>
                <w:rFonts w:ascii="Times New Roman" w:hAnsi="Times New Roman"/>
                <w:sz w:val="20"/>
                <w:szCs w:val="20"/>
              </w:rPr>
              <w:t>ации города от 09.02.2012 №81 «</w:t>
            </w:r>
            <w:r w:rsidR="007D091E" w:rsidRPr="00757EA3">
              <w:rPr>
                <w:rFonts w:ascii="Times New Roman" w:hAnsi="Times New Roman"/>
                <w:sz w:val="20"/>
                <w:szCs w:val="20"/>
              </w:rPr>
              <w:t xml:space="preserve">Об утверждения состава информации и порядка ведения </w:t>
            </w:r>
            <w:r w:rsidR="007A13B8">
              <w:rPr>
                <w:rFonts w:ascii="Times New Roman" w:hAnsi="Times New Roman"/>
                <w:sz w:val="20"/>
                <w:szCs w:val="20"/>
              </w:rPr>
              <w:t>м</w:t>
            </w:r>
            <w:r w:rsidR="007D091E" w:rsidRPr="00757EA3">
              <w:rPr>
                <w:rFonts w:ascii="Times New Roman" w:hAnsi="Times New Roman"/>
                <w:sz w:val="20"/>
                <w:szCs w:val="20"/>
              </w:rPr>
              <w:t>униципальной долговой книги муниципального образования города Радужный». Предоставление муниципальной гарантии осуществляется в соответствии с Постановлением администрации города от 30.04.2014 № 970 « Об утверждении порядка предоставления муниципальных гарантий».</w:t>
            </w:r>
            <w:r w:rsidR="007D091E" w:rsidRPr="00852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D091E" w:rsidRPr="00DC1F04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1E" w:rsidRPr="00DC1F04" w:rsidTr="007A13B8">
        <w:trPr>
          <w:trHeight w:val="432"/>
        </w:trPr>
        <w:tc>
          <w:tcPr>
            <w:tcW w:w="522" w:type="dxa"/>
            <w:noWrap/>
          </w:tcPr>
          <w:p w:rsidR="007D091E" w:rsidRDefault="007D091E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55" w:type="dxa"/>
            <w:gridSpan w:val="3"/>
            <w:noWrap/>
          </w:tcPr>
          <w:p w:rsidR="007D091E" w:rsidRPr="0037485E" w:rsidRDefault="007D091E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85E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  <w:r w:rsidRPr="0037485E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контроля в сфере закупок в рамках полномочий,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82" w:type="dxa"/>
            <w:gridSpan w:val="2"/>
            <w:noWrap/>
          </w:tcPr>
          <w:p w:rsidR="007D091E" w:rsidRPr="006E79D1" w:rsidRDefault="007D091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3"/>
            <w:noWrap/>
          </w:tcPr>
          <w:p w:rsidR="007D091E" w:rsidRPr="006E79D1" w:rsidRDefault="007D091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7D091E" w:rsidRPr="006E79D1" w:rsidRDefault="007D091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</w:tcPr>
          <w:p w:rsidR="007D091E" w:rsidRPr="006E79D1" w:rsidRDefault="007D091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noWrap/>
          </w:tcPr>
          <w:p w:rsidR="007D091E" w:rsidRPr="006E79D1" w:rsidRDefault="007D091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37" w:type="dxa"/>
          </w:tcPr>
          <w:p w:rsidR="007D091E" w:rsidRPr="00852C91" w:rsidRDefault="007D091E" w:rsidP="007A1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2C91">
              <w:rPr>
                <w:rFonts w:ascii="Times New Roman" w:hAnsi="Times New Roman"/>
                <w:sz w:val="20"/>
                <w:szCs w:val="20"/>
              </w:rPr>
              <w:t>В комитете финансов учитываются бюджетные обязательства, принимаемые в соответствии с муниципальными контрактами, иными договорами,</w:t>
            </w:r>
            <w:r w:rsidR="007A13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C91">
              <w:rPr>
                <w:rFonts w:ascii="Times New Roman" w:hAnsi="Times New Roman"/>
                <w:sz w:val="20"/>
                <w:szCs w:val="20"/>
              </w:rPr>
              <w:t>заключенными с физическими, юридическими лицами и индивидуальными предпринимателями в соответствие с приказами комитета финансов от 23.03.2011 № 11 «О</w:t>
            </w:r>
            <w:r w:rsidRPr="00852C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2C91">
              <w:rPr>
                <w:rFonts w:ascii="Times New Roman" w:hAnsi="Times New Roman"/>
                <w:sz w:val="20"/>
                <w:szCs w:val="20"/>
              </w:rPr>
              <w:t>порядке учета комитетом финансов</w:t>
            </w:r>
            <w:r w:rsidR="006E0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C91">
              <w:rPr>
                <w:rFonts w:ascii="Times New Roman" w:hAnsi="Times New Roman"/>
                <w:sz w:val="20"/>
                <w:szCs w:val="20"/>
              </w:rPr>
              <w:t>администрации города Радужный бюджетных обязательств</w:t>
            </w:r>
            <w:r w:rsidR="007A13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C91">
              <w:rPr>
                <w:rFonts w:ascii="Times New Roman" w:hAnsi="Times New Roman"/>
                <w:sz w:val="20"/>
                <w:szCs w:val="20"/>
              </w:rPr>
              <w:t xml:space="preserve"> получателе</w:t>
            </w:r>
            <w:r w:rsidR="006E0D31">
              <w:rPr>
                <w:rFonts w:ascii="Times New Roman" w:hAnsi="Times New Roman"/>
                <w:sz w:val="20"/>
                <w:szCs w:val="20"/>
              </w:rPr>
              <w:t>й средств городского бюджета» (с</w:t>
            </w:r>
            <w:r w:rsidRPr="00852C91">
              <w:rPr>
                <w:rFonts w:ascii="Times New Roman" w:hAnsi="Times New Roman"/>
                <w:sz w:val="20"/>
                <w:szCs w:val="20"/>
              </w:rPr>
              <w:t xml:space="preserve"> изменениями от 25.12.2013 года) и производится контроль за включением учреждениями в единый </w:t>
            </w:r>
            <w:r w:rsidRPr="00852C91">
              <w:rPr>
                <w:rFonts w:ascii="Times New Roman" w:hAnsi="Times New Roman"/>
                <w:sz w:val="20"/>
                <w:szCs w:val="20"/>
              </w:rPr>
              <w:lastRenderedPageBreak/>
              <w:t>реестр контрактов</w:t>
            </w:r>
            <w:proofErr w:type="gramEnd"/>
            <w:r w:rsidRPr="00852C91">
              <w:rPr>
                <w:rFonts w:ascii="Times New Roman" w:hAnsi="Times New Roman"/>
                <w:sz w:val="20"/>
                <w:szCs w:val="20"/>
              </w:rPr>
              <w:t xml:space="preserve"> на общероссийском официальном сайте сведений о контрактах, которые  являются обязательным условием проведения кассовых операций по лицевым счетам</w:t>
            </w:r>
          </w:p>
        </w:tc>
        <w:tc>
          <w:tcPr>
            <w:tcW w:w="1276" w:type="dxa"/>
          </w:tcPr>
          <w:p w:rsidR="007D091E" w:rsidRPr="00DC1F04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1E" w:rsidRPr="00DC1F04" w:rsidTr="007A13B8">
        <w:trPr>
          <w:trHeight w:val="432"/>
        </w:trPr>
        <w:tc>
          <w:tcPr>
            <w:tcW w:w="522" w:type="dxa"/>
            <w:noWrap/>
          </w:tcPr>
          <w:p w:rsidR="007D091E" w:rsidRPr="00DC1F04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gridSpan w:val="3"/>
            <w:noWrap/>
          </w:tcPr>
          <w:p w:rsidR="007D091E" w:rsidRPr="00DC1F04" w:rsidRDefault="007D091E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1282" w:type="dxa"/>
            <w:gridSpan w:val="2"/>
            <w:noWrap/>
          </w:tcPr>
          <w:p w:rsidR="007D091E" w:rsidRPr="00DC1F04" w:rsidRDefault="007D091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noWrap/>
          </w:tcPr>
          <w:p w:rsidR="007D091E" w:rsidRPr="006E79D1" w:rsidRDefault="007D091E" w:rsidP="00B66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D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7D091E" w:rsidRPr="006E79D1" w:rsidRDefault="007D091E" w:rsidP="00B66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D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</w:tcPr>
          <w:p w:rsidR="007D091E" w:rsidRPr="006E79D1" w:rsidRDefault="007D091E" w:rsidP="00B66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D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1" w:type="dxa"/>
            <w:noWrap/>
          </w:tcPr>
          <w:p w:rsidR="007D091E" w:rsidRPr="006E79D1" w:rsidRDefault="007D091E" w:rsidP="00B66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D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537" w:type="dxa"/>
          </w:tcPr>
          <w:p w:rsidR="007D091E" w:rsidRPr="00852C91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91E" w:rsidRPr="00DC1F04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31" w:rsidRPr="00DC1F04" w:rsidTr="007A13B8">
        <w:trPr>
          <w:trHeight w:val="432"/>
        </w:trPr>
        <w:tc>
          <w:tcPr>
            <w:tcW w:w="522" w:type="dxa"/>
            <w:noWrap/>
          </w:tcPr>
          <w:p w:rsidR="006E0D31" w:rsidRPr="00DC1F04" w:rsidRDefault="006E0D31" w:rsidP="00DC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gridSpan w:val="3"/>
            <w:noWrap/>
          </w:tcPr>
          <w:p w:rsidR="006E0D31" w:rsidRDefault="006E0D31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282" w:type="dxa"/>
            <w:gridSpan w:val="2"/>
            <w:noWrap/>
          </w:tcPr>
          <w:p w:rsidR="006E0D31" w:rsidRPr="00DC1F04" w:rsidRDefault="006E0D31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noWrap/>
          </w:tcPr>
          <w:p w:rsidR="006E0D31" w:rsidRPr="002E7EA3" w:rsidRDefault="006E0D31" w:rsidP="00AD5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6 261,00</w:t>
            </w:r>
          </w:p>
        </w:tc>
        <w:tc>
          <w:tcPr>
            <w:tcW w:w="1277" w:type="dxa"/>
            <w:gridSpan w:val="2"/>
            <w:noWrap/>
          </w:tcPr>
          <w:p w:rsidR="006E0D31" w:rsidRPr="002E7EA3" w:rsidRDefault="006E0D31" w:rsidP="00AD5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4 672,73</w:t>
            </w:r>
          </w:p>
        </w:tc>
        <w:tc>
          <w:tcPr>
            <w:tcW w:w="1137" w:type="dxa"/>
            <w:gridSpan w:val="2"/>
            <w:noWrap/>
          </w:tcPr>
          <w:p w:rsidR="006E0D31" w:rsidRPr="002E7EA3" w:rsidRDefault="006E0D31" w:rsidP="00AD5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-1588,27</w:t>
            </w:r>
          </w:p>
        </w:tc>
        <w:tc>
          <w:tcPr>
            <w:tcW w:w="991" w:type="dxa"/>
            <w:noWrap/>
          </w:tcPr>
          <w:p w:rsidR="006E0D31" w:rsidRPr="002E7EA3" w:rsidRDefault="006E0D31" w:rsidP="00AD5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E7E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537" w:type="dxa"/>
          </w:tcPr>
          <w:p w:rsidR="006E0D31" w:rsidRPr="002E7EA3" w:rsidRDefault="006E0D31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D31" w:rsidRPr="00DC1F04" w:rsidRDefault="006E0D31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1E" w:rsidRPr="00DC1F04" w:rsidTr="00ED25F4">
        <w:trPr>
          <w:trHeight w:val="432"/>
        </w:trPr>
        <w:tc>
          <w:tcPr>
            <w:tcW w:w="15701" w:type="dxa"/>
            <w:gridSpan w:val="16"/>
            <w:noWrap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1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«Управление муниципальным долгом города Радужного»</w:t>
            </w:r>
          </w:p>
        </w:tc>
      </w:tr>
      <w:tr w:rsidR="007D091E" w:rsidRPr="00DC1F04" w:rsidTr="00ED25F4">
        <w:trPr>
          <w:trHeight w:val="432"/>
        </w:trPr>
        <w:tc>
          <w:tcPr>
            <w:tcW w:w="15701" w:type="dxa"/>
            <w:gridSpan w:val="16"/>
            <w:noWrap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182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 Эффективное управление муниципальным долгом</w:t>
            </w:r>
          </w:p>
        </w:tc>
      </w:tr>
      <w:tr w:rsidR="007D091E" w:rsidRPr="00DC1F04" w:rsidTr="007A13B8">
        <w:trPr>
          <w:trHeight w:val="432"/>
        </w:trPr>
        <w:tc>
          <w:tcPr>
            <w:tcW w:w="530" w:type="dxa"/>
            <w:gridSpan w:val="2"/>
            <w:noWrap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2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3"/>
          </w:tcPr>
          <w:p w:rsidR="007D091E" w:rsidRPr="0037485E" w:rsidRDefault="007D091E" w:rsidP="00DB1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85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 w:rsidRPr="0037485E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D091E" w:rsidRPr="00DB1182" w:rsidRDefault="006E0D31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3 961,00</w:t>
            </w:r>
          </w:p>
        </w:tc>
        <w:tc>
          <w:tcPr>
            <w:tcW w:w="1277" w:type="dxa"/>
            <w:gridSpan w:val="2"/>
          </w:tcPr>
          <w:p w:rsidR="007D091E" w:rsidRPr="00DB1182" w:rsidRDefault="006E0D31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1 678,36</w:t>
            </w:r>
          </w:p>
        </w:tc>
        <w:tc>
          <w:tcPr>
            <w:tcW w:w="1137" w:type="dxa"/>
            <w:gridSpan w:val="2"/>
          </w:tcPr>
          <w:p w:rsidR="007D091E" w:rsidRPr="00DB1182" w:rsidRDefault="007D091E" w:rsidP="00056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056F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56F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56F75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91" w:type="dxa"/>
          </w:tcPr>
          <w:p w:rsidR="007D091E" w:rsidRPr="00DB1182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42,37</w:t>
            </w:r>
          </w:p>
        </w:tc>
        <w:tc>
          <w:tcPr>
            <w:tcW w:w="4537" w:type="dxa"/>
          </w:tcPr>
          <w:p w:rsidR="007D091E" w:rsidRPr="00070FB0" w:rsidRDefault="00056F75" w:rsidP="00DB08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FB0">
              <w:rPr>
                <w:rFonts w:ascii="Times New Roman" w:hAnsi="Times New Roman"/>
                <w:bCs/>
                <w:sz w:val="20"/>
                <w:szCs w:val="20"/>
              </w:rPr>
              <w:t>В 2015</w:t>
            </w:r>
            <w:r w:rsidR="007D091E" w:rsidRPr="00070FB0">
              <w:rPr>
                <w:rFonts w:ascii="Times New Roman" w:hAnsi="Times New Roman"/>
                <w:bCs/>
                <w:sz w:val="20"/>
                <w:szCs w:val="20"/>
              </w:rPr>
              <w:t xml:space="preserve"> году расходы на обслуживание муниципального долга производились по двум направлениям:</w:t>
            </w:r>
          </w:p>
          <w:p w:rsidR="000A4BF0" w:rsidRPr="00757EA3" w:rsidRDefault="00757EA3" w:rsidP="000A4B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7EA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A4BF0" w:rsidRPr="00757EA3">
              <w:rPr>
                <w:rFonts w:ascii="Times New Roman" w:hAnsi="Times New Roman"/>
                <w:bCs/>
                <w:sz w:val="20"/>
                <w:szCs w:val="20"/>
              </w:rPr>
              <w:t>)уплата процентов за пользование кредитом банка  в рамках кредитной линии Ханты-Мансийского банка, открытой на основании  муниципального контракта 0187300007815000055-0051859-01 от 30.05.2015 года</w:t>
            </w:r>
          </w:p>
          <w:p w:rsidR="007D091E" w:rsidRPr="00070FB0" w:rsidRDefault="000A4BF0" w:rsidP="000A4B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magenta"/>
              </w:rPr>
            </w:pPr>
            <w:r w:rsidRPr="00757EA3">
              <w:rPr>
                <w:rFonts w:ascii="Times New Roman" w:hAnsi="Times New Roman"/>
                <w:bCs/>
                <w:sz w:val="20"/>
                <w:szCs w:val="20"/>
              </w:rPr>
              <w:t>2)</w:t>
            </w:r>
            <w:r w:rsidRPr="00757EA3">
              <w:rPr>
                <w:sz w:val="20"/>
                <w:szCs w:val="20"/>
              </w:rPr>
              <w:t xml:space="preserve"> </w:t>
            </w:r>
            <w:r w:rsidRPr="00757EA3">
              <w:rPr>
                <w:rFonts w:ascii="Times New Roman" w:hAnsi="Times New Roman"/>
                <w:sz w:val="20"/>
                <w:szCs w:val="20"/>
              </w:rPr>
              <w:t>у</w:t>
            </w:r>
            <w:r w:rsidRPr="00757EA3">
              <w:rPr>
                <w:rFonts w:ascii="Times New Roman" w:hAnsi="Times New Roman"/>
                <w:bCs/>
                <w:sz w:val="20"/>
                <w:szCs w:val="20"/>
              </w:rPr>
              <w:t xml:space="preserve">плата процентов за пользование бюджетным кредитом, предоставленном из бюджета автономного округа на покрытие временного кассового разрыва, возникшего при исполнении местного бюджета города </w:t>
            </w:r>
            <w:proofErr w:type="gramStart"/>
            <w:r w:rsidRPr="00757EA3">
              <w:rPr>
                <w:rFonts w:ascii="Times New Roman" w:hAnsi="Times New Roman"/>
                <w:bCs/>
                <w:sz w:val="20"/>
                <w:szCs w:val="20"/>
              </w:rPr>
              <w:t>Радужный</w:t>
            </w:r>
            <w:proofErr w:type="gramEnd"/>
            <w:r w:rsidRPr="00757EA3">
              <w:rPr>
                <w:rFonts w:ascii="Times New Roman" w:hAnsi="Times New Roman"/>
                <w:bCs/>
                <w:sz w:val="20"/>
                <w:szCs w:val="20"/>
              </w:rPr>
              <w:t xml:space="preserve"> по договору бюджетного кредита № 8/03-14 от 22.12.2014 года</w:t>
            </w:r>
          </w:p>
        </w:tc>
        <w:tc>
          <w:tcPr>
            <w:tcW w:w="1276" w:type="dxa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91E" w:rsidRPr="00DC1F04" w:rsidTr="007A13B8">
        <w:trPr>
          <w:trHeight w:val="432"/>
        </w:trPr>
        <w:tc>
          <w:tcPr>
            <w:tcW w:w="530" w:type="dxa"/>
            <w:gridSpan w:val="2"/>
            <w:noWrap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2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3"/>
          </w:tcPr>
          <w:p w:rsidR="007D091E" w:rsidRPr="0037485E" w:rsidRDefault="007D091E" w:rsidP="00DB1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85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 w:rsidRPr="0037485E">
              <w:rPr>
                <w:rFonts w:ascii="Times New Roman" w:hAnsi="Times New Roman"/>
                <w:sz w:val="24"/>
                <w:szCs w:val="24"/>
              </w:rPr>
              <w:t>Планирование ассигнований на погашение долговых обязательств муниципального образования</w:t>
            </w:r>
          </w:p>
        </w:tc>
        <w:tc>
          <w:tcPr>
            <w:tcW w:w="1276" w:type="dxa"/>
            <w:gridSpan w:val="2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7D091E" w:rsidRPr="00056F75" w:rsidRDefault="00F24E7B" w:rsidP="00F24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</w:t>
            </w:r>
            <w:r w:rsidR="007D091E" w:rsidRPr="00056F75">
              <w:rPr>
                <w:rFonts w:ascii="Times New Roman" w:hAnsi="Times New Roman"/>
                <w:sz w:val="20"/>
                <w:szCs w:val="20"/>
              </w:rPr>
              <w:t xml:space="preserve">ссигнования на погашение долговых обязательств муниципального образования планировались из расчета потребности в привлечении заемных средств для </w:t>
            </w:r>
            <w:r w:rsidR="007D091E" w:rsidRPr="00056F75">
              <w:rPr>
                <w:rFonts w:ascii="Times New Roman" w:hAnsi="Times New Roman"/>
                <w:bCs/>
                <w:sz w:val="20"/>
                <w:szCs w:val="20"/>
              </w:rPr>
              <w:t xml:space="preserve">покрытия временного кассового разрыва,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дефицита </w:t>
            </w:r>
            <w:r w:rsidR="007D091E" w:rsidRPr="00056F75">
              <w:rPr>
                <w:rFonts w:ascii="Times New Roman" w:hAnsi="Times New Roman"/>
                <w:bCs/>
                <w:sz w:val="20"/>
                <w:szCs w:val="20"/>
              </w:rPr>
              <w:t xml:space="preserve">бюджета города </w:t>
            </w:r>
            <w:proofErr w:type="gramStart"/>
            <w:r w:rsidR="007D091E" w:rsidRPr="00056F75">
              <w:rPr>
                <w:rFonts w:ascii="Times New Roman" w:hAnsi="Times New Roman"/>
                <w:bCs/>
                <w:sz w:val="20"/>
                <w:szCs w:val="20"/>
              </w:rPr>
              <w:t>Радужный</w:t>
            </w:r>
            <w:proofErr w:type="gramEnd"/>
            <w:r w:rsidR="007D091E" w:rsidRPr="00056F7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7D091E" w:rsidRPr="00056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BF0" w:rsidRPr="00757EA3">
              <w:rPr>
                <w:rFonts w:ascii="Times New Roman" w:hAnsi="Times New Roman"/>
                <w:sz w:val="20"/>
                <w:szCs w:val="20"/>
              </w:rPr>
              <w:t>В соответствие с решением Думы города от 12.12.2014 №520 «О бюджете муниципального образования город Радужный на 2015 год и плановый период 2016 и 2017 годов» ассигнования на погашение долговых обязательств доведены до главного администратора источников финансирования дефицита бюджета.</w:t>
            </w:r>
          </w:p>
        </w:tc>
        <w:tc>
          <w:tcPr>
            <w:tcW w:w="1276" w:type="dxa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91E" w:rsidRPr="00DC1F04" w:rsidTr="007A13B8">
        <w:trPr>
          <w:trHeight w:val="432"/>
        </w:trPr>
        <w:tc>
          <w:tcPr>
            <w:tcW w:w="530" w:type="dxa"/>
            <w:gridSpan w:val="2"/>
            <w:noWrap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3"/>
          </w:tcPr>
          <w:p w:rsidR="007D091E" w:rsidRPr="00E3760F" w:rsidRDefault="007D091E" w:rsidP="00DB1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60F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 w:rsidRPr="00E3760F">
              <w:rPr>
                <w:rFonts w:ascii="Times New Roman" w:hAnsi="Times New Roman"/>
                <w:sz w:val="24"/>
                <w:szCs w:val="24"/>
              </w:rPr>
              <w:t xml:space="preserve">Планирование ассигнований на исполнение </w:t>
            </w:r>
            <w:r w:rsidRPr="00E376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гарантий</w:t>
            </w:r>
            <w:r w:rsidRPr="00E376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7" w:type="dxa"/>
            <w:gridSpan w:val="2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7D091E" w:rsidRPr="00056F75" w:rsidRDefault="00B44567" w:rsidP="00FA1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F75">
              <w:rPr>
                <w:rFonts w:ascii="Times New Roman" w:hAnsi="Times New Roman"/>
                <w:bCs/>
                <w:sz w:val="20"/>
                <w:szCs w:val="20"/>
              </w:rPr>
              <w:t xml:space="preserve">Объем предоставленных гарантий формирует муниципальные обязательства и включается в общий объем муниципального долга. </w:t>
            </w:r>
            <w:r w:rsidR="00FA1685" w:rsidRPr="00FA16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Запланированные в составе  </w:t>
            </w:r>
            <w:proofErr w:type="gramStart"/>
            <w:r w:rsidR="00FA1685" w:rsidRPr="00FA1685">
              <w:rPr>
                <w:rFonts w:ascii="Times New Roman" w:hAnsi="Times New Roman"/>
                <w:sz w:val="20"/>
                <w:szCs w:val="20"/>
              </w:rPr>
              <w:t>источников дефицита бюджета города ассигнования</w:t>
            </w:r>
            <w:proofErr w:type="gramEnd"/>
            <w:r w:rsidR="00FA1685" w:rsidRPr="00FA1685">
              <w:rPr>
                <w:rFonts w:ascii="Times New Roman" w:hAnsi="Times New Roman"/>
                <w:sz w:val="20"/>
                <w:szCs w:val="20"/>
              </w:rPr>
              <w:t xml:space="preserve"> на исполнение муниципальных гарантий в объеме  16 270,00 тыс. рублей не были востребованы, так как принципал своевременно и в полном объеме  исполнил обязательства, обеспеченные гарантией муниципального образования</w:t>
            </w:r>
            <w:r w:rsidR="00FA1685" w:rsidRPr="00FA1685">
              <w:rPr>
                <w:sz w:val="20"/>
                <w:szCs w:val="20"/>
              </w:rPr>
              <w:t>.</w:t>
            </w:r>
            <w:r w:rsidR="00FA1685" w:rsidRPr="00844DB2">
              <w:t xml:space="preserve">  </w:t>
            </w:r>
          </w:p>
        </w:tc>
        <w:tc>
          <w:tcPr>
            <w:tcW w:w="1276" w:type="dxa"/>
          </w:tcPr>
          <w:p w:rsidR="007D091E" w:rsidRPr="00DB1182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75" w:rsidRPr="00DC1F04" w:rsidTr="007A13B8">
        <w:trPr>
          <w:trHeight w:val="432"/>
        </w:trPr>
        <w:tc>
          <w:tcPr>
            <w:tcW w:w="530" w:type="dxa"/>
            <w:gridSpan w:val="2"/>
            <w:noWrap/>
          </w:tcPr>
          <w:p w:rsidR="00056F75" w:rsidRPr="00DB1182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56F75" w:rsidRPr="00DC1F04" w:rsidRDefault="00056F75" w:rsidP="00B66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276" w:type="dxa"/>
            <w:gridSpan w:val="2"/>
          </w:tcPr>
          <w:p w:rsidR="00056F75" w:rsidRPr="006E79D1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6F75" w:rsidRPr="00056F75" w:rsidRDefault="00056F75" w:rsidP="00AD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75">
              <w:rPr>
                <w:rFonts w:ascii="Times New Roman" w:hAnsi="Times New Roman"/>
                <w:b/>
                <w:bCs/>
                <w:sz w:val="24"/>
                <w:szCs w:val="24"/>
              </w:rPr>
              <w:t>3 961,00</w:t>
            </w:r>
          </w:p>
        </w:tc>
        <w:tc>
          <w:tcPr>
            <w:tcW w:w="1277" w:type="dxa"/>
            <w:gridSpan w:val="2"/>
          </w:tcPr>
          <w:p w:rsidR="00056F75" w:rsidRPr="00056F75" w:rsidRDefault="00056F75" w:rsidP="00AD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75">
              <w:rPr>
                <w:rFonts w:ascii="Times New Roman" w:hAnsi="Times New Roman"/>
                <w:b/>
                <w:bCs/>
                <w:sz w:val="24"/>
                <w:szCs w:val="24"/>
              </w:rPr>
              <w:t>1 678,36</w:t>
            </w:r>
          </w:p>
        </w:tc>
        <w:tc>
          <w:tcPr>
            <w:tcW w:w="1137" w:type="dxa"/>
            <w:gridSpan w:val="2"/>
          </w:tcPr>
          <w:p w:rsidR="00056F75" w:rsidRPr="00056F75" w:rsidRDefault="00056F75" w:rsidP="00AD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75">
              <w:rPr>
                <w:rFonts w:ascii="Times New Roman" w:hAnsi="Times New Roman"/>
                <w:b/>
                <w:bCs/>
                <w:sz w:val="24"/>
                <w:szCs w:val="24"/>
              </w:rPr>
              <w:t>-2282,64</w:t>
            </w:r>
          </w:p>
        </w:tc>
        <w:tc>
          <w:tcPr>
            <w:tcW w:w="991" w:type="dxa"/>
          </w:tcPr>
          <w:p w:rsidR="00056F75" w:rsidRPr="00056F75" w:rsidRDefault="00056F75" w:rsidP="00AD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75">
              <w:rPr>
                <w:rFonts w:ascii="Times New Roman" w:hAnsi="Times New Roman"/>
                <w:b/>
                <w:bCs/>
                <w:sz w:val="24"/>
                <w:szCs w:val="24"/>
              </w:rPr>
              <w:t>42,37</w:t>
            </w:r>
          </w:p>
        </w:tc>
        <w:tc>
          <w:tcPr>
            <w:tcW w:w="4537" w:type="dxa"/>
          </w:tcPr>
          <w:p w:rsidR="00056F75" w:rsidRPr="00056F75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F75" w:rsidRPr="00DB1182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75" w:rsidRPr="00DC1F04" w:rsidTr="007A13B8">
        <w:trPr>
          <w:trHeight w:val="432"/>
        </w:trPr>
        <w:tc>
          <w:tcPr>
            <w:tcW w:w="530" w:type="dxa"/>
            <w:gridSpan w:val="2"/>
            <w:noWrap/>
          </w:tcPr>
          <w:p w:rsidR="00056F75" w:rsidRPr="00DB1182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56F75" w:rsidRDefault="00056F75" w:rsidP="00B66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276" w:type="dxa"/>
            <w:gridSpan w:val="2"/>
          </w:tcPr>
          <w:p w:rsidR="00056F75" w:rsidRPr="006E79D1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6F75" w:rsidRPr="00056F75" w:rsidRDefault="00056F75" w:rsidP="00AD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75">
              <w:rPr>
                <w:rFonts w:ascii="Times New Roman" w:hAnsi="Times New Roman"/>
                <w:b/>
                <w:bCs/>
                <w:sz w:val="24"/>
                <w:szCs w:val="24"/>
              </w:rPr>
              <w:t>3 961,00</w:t>
            </w:r>
          </w:p>
        </w:tc>
        <w:tc>
          <w:tcPr>
            <w:tcW w:w="1277" w:type="dxa"/>
            <w:gridSpan w:val="2"/>
          </w:tcPr>
          <w:p w:rsidR="00056F75" w:rsidRPr="00056F75" w:rsidRDefault="00056F75" w:rsidP="00AD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75">
              <w:rPr>
                <w:rFonts w:ascii="Times New Roman" w:hAnsi="Times New Roman"/>
                <w:b/>
                <w:bCs/>
                <w:sz w:val="24"/>
                <w:szCs w:val="24"/>
              </w:rPr>
              <w:t>1 678,36</w:t>
            </w:r>
          </w:p>
        </w:tc>
        <w:tc>
          <w:tcPr>
            <w:tcW w:w="1137" w:type="dxa"/>
            <w:gridSpan w:val="2"/>
          </w:tcPr>
          <w:p w:rsidR="00056F75" w:rsidRPr="00056F75" w:rsidRDefault="00056F75" w:rsidP="00AD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75">
              <w:rPr>
                <w:rFonts w:ascii="Times New Roman" w:hAnsi="Times New Roman"/>
                <w:b/>
                <w:bCs/>
                <w:sz w:val="24"/>
                <w:szCs w:val="24"/>
              </w:rPr>
              <w:t>-2282,64</w:t>
            </w:r>
          </w:p>
        </w:tc>
        <w:tc>
          <w:tcPr>
            <w:tcW w:w="991" w:type="dxa"/>
          </w:tcPr>
          <w:p w:rsidR="00056F75" w:rsidRPr="00056F75" w:rsidRDefault="00056F75" w:rsidP="00AD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75">
              <w:rPr>
                <w:rFonts w:ascii="Times New Roman" w:hAnsi="Times New Roman"/>
                <w:b/>
                <w:bCs/>
                <w:sz w:val="24"/>
                <w:szCs w:val="24"/>
              </w:rPr>
              <w:t>42,37</w:t>
            </w:r>
          </w:p>
        </w:tc>
        <w:tc>
          <w:tcPr>
            <w:tcW w:w="4537" w:type="dxa"/>
          </w:tcPr>
          <w:p w:rsidR="00056F75" w:rsidRPr="00DB1182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75" w:rsidRPr="00DB1182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91E" w:rsidRPr="00DC1F04" w:rsidTr="00ED25F4">
        <w:trPr>
          <w:trHeight w:val="432"/>
        </w:trPr>
        <w:tc>
          <w:tcPr>
            <w:tcW w:w="15701" w:type="dxa"/>
            <w:gridSpan w:val="16"/>
            <w:noWrap/>
          </w:tcPr>
          <w:p w:rsidR="007D091E" w:rsidRPr="00E55A64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A64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«Участие в формировании единого информационного пространства в сфере управления общественными финансами»</w:t>
            </w:r>
          </w:p>
        </w:tc>
      </w:tr>
      <w:tr w:rsidR="007D091E" w:rsidRPr="00DC1F04" w:rsidTr="00ED25F4">
        <w:trPr>
          <w:trHeight w:val="432"/>
        </w:trPr>
        <w:tc>
          <w:tcPr>
            <w:tcW w:w="15701" w:type="dxa"/>
            <w:gridSpan w:val="16"/>
            <w:noWrap/>
          </w:tcPr>
          <w:p w:rsidR="007D091E" w:rsidRPr="00E55A64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A6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 Участие в ф</w:t>
            </w:r>
            <w:r w:rsidRPr="00E55A64">
              <w:rPr>
                <w:rFonts w:ascii="Times New Roman" w:hAnsi="Times New Roman"/>
                <w:b/>
                <w:sz w:val="24"/>
                <w:szCs w:val="24"/>
              </w:rPr>
              <w:t>ормировании единого информационного пространства и осуществления интеграции информационных потоков в сфере управления общественными финансами</w:t>
            </w:r>
          </w:p>
        </w:tc>
      </w:tr>
      <w:tr w:rsidR="007D091E" w:rsidRPr="00DC1F04" w:rsidTr="007A13B8">
        <w:trPr>
          <w:trHeight w:val="432"/>
        </w:trPr>
        <w:tc>
          <w:tcPr>
            <w:tcW w:w="530" w:type="dxa"/>
            <w:gridSpan w:val="2"/>
            <w:noWrap/>
          </w:tcPr>
          <w:p w:rsidR="007D091E" w:rsidRPr="00E55A64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A64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3"/>
          </w:tcPr>
          <w:p w:rsidR="007D091E" w:rsidRPr="0037485E" w:rsidRDefault="007D091E" w:rsidP="00B6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5E">
              <w:rPr>
                <w:rFonts w:ascii="Times New Roman" w:hAnsi="Times New Roman"/>
                <w:sz w:val="24"/>
                <w:szCs w:val="24"/>
              </w:rPr>
              <w:t>1.1. Участие в объединении информационных систем в единую комплексную систему управления</w:t>
            </w:r>
          </w:p>
        </w:tc>
        <w:tc>
          <w:tcPr>
            <w:tcW w:w="1276" w:type="dxa"/>
            <w:gridSpan w:val="2"/>
          </w:tcPr>
          <w:p w:rsidR="007D091E" w:rsidRPr="00E55A64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D091E" w:rsidRPr="00E55A64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1 947,00</w:t>
            </w:r>
          </w:p>
        </w:tc>
        <w:tc>
          <w:tcPr>
            <w:tcW w:w="1277" w:type="dxa"/>
            <w:gridSpan w:val="2"/>
          </w:tcPr>
          <w:p w:rsidR="007D091E" w:rsidRPr="00E55A64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1 946,06</w:t>
            </w:r>
          </w:p>
        </w:tc>
        <w:tc>
          <w:tcPr>
            <w:tcW w:w="1137" w:type="dxa"/>
            <w:gridSpan w:val="2"/>
          </w:tcPr>
          <w:p w:rsidR="007D091E" w:rsidRPr="00E55A64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-1,00</w:t>
            </w:r>
          </w:p>
        </w:tc>
        <w:tc>
          <w:tcPr>
            <w:tcW w:w="991" w:type="dxa"/>
          </w:tcPr>
          <w:p w:rsidR="007D091E" w:rsidRPr="00E55A64" w:rsidRDefault="00056F75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D091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537" w:type="dxa"/>
          </w:tcPr>
          <w:p w:rsidR="007D091E" w:rsidRPr="00056F75" w:rsidRDefault="00056F75" w:rsidP="004F4D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7D091E" w:rsidRPr="00056F75">
              <w:rPr>
                <w:rFonts w:ascii="Times New Roman" w:hAnsi="Times New Roman"/>
                <w:bCs/>
                <w:sz w:val="20"/>
                <w:szCs w:val="20"/>
              </w:rPr>
              <w:t>В рамках данного мероприятия для автоматизации деятельности финансового органа муниципального образования используется программный продукт АС «Бюджет» и АС «УРМ» реализующие различные варианты кассового обслуживания и схемы внутреннего и внешнего документооборота при казначейской системе исполнения бюджета. Эти программные модули входят в состав программного комплекса управления бюджетным процессом, обеспечивающего создание единого информационного пространства.</w:t>
            </w:r>
          </w:p>
        </w:tc>
        <w:tc>
          <w:tcPr>
            <w:tcW w:w="1276" w:type="dxa"/>
          </w:tcPr>
          <w:p w:rsidR="007D091E" w:rsidRPr="00E55A64" w:rsidRDefault="007D091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FB0" w:rsidRPr="00DC1F04" w:rsidTr="007A13B8">
        <w:trPr>
          <w:trHeight w:val="432"/>
        </w:trPr>
        <w:tc>
          <w:tcPr>
            <w:tcW w:w="530" w:type="dxa"/>
            <w:gridSpan w:val="2"/>
            <w:noWrap/>
          </w:tcPr>
          <w:p w:rsidR="00070FB0" w:rsidRPr="00E55A64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3"/>
          </w:tcPr>
          <w:p w:rsidR="00070FB0" w:rsidRPr="0037485E" w:rsidRDefault="00070FB0" w:rsidP="00B6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Обеспечение открытости и доступности для граждан и организаций информации о бюджетном процессе в городе Радужный</w:t>
            </w:r>
          </w:p>
        </w:tc>
        <w:tc>
          <w:tcPr>
            <w:tcW w:w="1276" w:type="dxa"/>
            <w:gridSpan w:val="2"/>
          </w:tcPr>
          <w:p w:rsidR="00070FB0" w:rsidRPr="006E79D1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070FB0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70FB0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070FB0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070FB0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0D444C" w:rsidRDefault="00BC6A61" w:rsidP="000D444C">
            <w:pPr>
              <w:pStyle w:val="a5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C6A61">
              <w:rPr>
                <w:rFonts w:ascii="Times New Roman" w:eastAsia="Calibri" w:hAnsi="Times New Roman" w:cs="Times New Roman"/>
                <w:bCs/>
                <w:lang w:eastAsia="en-US"/>
              </w:rPr>
              <w:t>Для привлечения большего количества граждан города Радужный к участию в обсуждении вопросов формирования бюджета города и его исполнения разработан «Бюджет для граждан». Информация, размещ</w:t>
            </w:r>
            <w:r w:rsidR="000D444C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ена </w:t>
            </w:r>
            <w:r w:rsidRPr="00BC6A6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в разделе с аналогичным наименованием «Бюджет для граждан» на официальном сайте администрации города (</w:t>
            </w:r>
            <w:proofErr w:type="spellStart"/>
            <w:r w:rsidRPr="00BC6A61">
              <w:rPr>
                <w:rFonts w:ascii="Times New Roman" w:eastAsia="Calibri" w:hAnsi="Times New Roman" w:cs="Times New Roman"/>
                <w:bCs/>
                <w:lang w:eastAsia="en-US"/>
              </w:rPr>
              <w:t>admrad.ru</w:t>
            </w:r>
            <w:proofErr w:type="spellEnd"/>
            <w:r w:rsidRPr="00BC6A61">
              <w:rPr>
                <w:rFonts w:ascii="Times New Roman" w:eastAsia="Calibri" w:hAnsi="Times New Roman" w:cs="Times New Roman"/>
                <w:bCs/>
                <w:lang w:eastAsia="en-US"/>
              </w:rPr>
              <w:t>)</w:t>
            </w:r>
            <w:r w:rsidR="000D444C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  <w:p w:rsidR="00070FB0" w:rsidRPr="00591A0E" w:rsidRDefault="00BC6A61" w:rsidP="000D444C">
            <w:pPr>
              <w:pStyle w:val="a5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C6A6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 2015 год было размещено </w:t>
            </w:r>
            <w:r w:rsidR="00591A0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документов, которые были просмотрены в общей сложности</w:t>
            </w:r>
            <w:r w:rsidR="00591A0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1156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раз.</w:t>
            </w:r>
          </w:p>
        </w:tc>
        <w:tc>
          <w:tcPr>
            <w:tcW w:w="1276" w:type="dxa"/>
          </w:tcPr>
          <w:p w:rsidR="00070FB0" w:rsidRPr="00E55A64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FB0" w:rsidRPr="00DC1F04" w:rsidTr="007A13B8">
        <w:trPr>
          <w:trHeight w:val="432"/>
        </w:trPr>
        <w:tc>
          <w:tcPr>
            <w:tcW w:w="530" w:type="dxa"/>
            <w:gridSpan w:val="2"/>
            <w:noWrap/>
          </w:tcPr>
          <w:p w:rsidR="00070FB0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60" w:type="dxa"/>
            <w:gridSpan w:val="3"/>
          </w:tcPr>
          <w:p w:rsidR="00070FB0" w:rsidRDefault="00070FB0" w:rsidP="00B6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Реализация мероприятий по повышению финансовой грамотности в городе Радужный</w:t>
            </w:r>
          </w:p>
        </w:tc>
        <w:tc>
          <w:tcPr>
            <w:tcW w:w="1276" w:type="dxa"/>
            <w:gridSpan w:val="2"/>
          </w:tcPr>
          <w:p w:rsidR="00070FB0" w:rsidRPr="006E79D1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D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070FB0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70FB0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070FB0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070FB0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070FB0" w:rsidRDefault="00591A0E" w:rsidP="003907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591A0E">
              <w:rPr>
                <w:rFonts w:ascii="Times New Roman" w:hAnsi="Times New Roman"/>
                <w:bCs/>
                <w:sz w:val="20"/>
                <w:szCs w:val="20"/>
              </w:rPr>
              <w:t>В 2015 году количество лиц, охваченных мероприятиями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91A0E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направленными на повышение финансовой грамотности  при плановом значении 619 человек составил 1151 человек, % исполнения 185,95, план перевыполнен.</w:t>
            </w:r>
          </w:p>
        </w:tc>
        <w:tc>
          <w:tcPr>
            <w:tcW w:w="1276" w:type="dxa"/>
          </w:tcPr>
          <w:p w:rsidR="00070FB0" w:rsidRPr="00E55A64" w:rsidRDefault="00070FB0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A0E" w:rsidRPr="00DC1F04" w:rsidTr="007A13B8">
        <w:trPr>
          <w:trHeight w:val="432"/>
        </w:trPr>
        <w:tc>
          <w:tcPr>
            <w:tcW w:w="530" w:type="dxa"/>
            <w:gridSpan w:val="2"/>
            <w:noWrap/>
          </w:tcPr>
          <w:p w:rsidR="00591A0E" w:rsidRPr="00E55A64" w:rsidRDefault="00591A0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91A0E" w:rsidRPr="00E55A64" w:rsidRDefault="00591A0E" w:rsidP="00B66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A6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276" w:type="dxa"/>
            <w:gridSpan w:val="2"/>
          </w:tcPr>
          <w:p w:rsidR="00591A0E" w:rsidRPr="00E55A64" w:rsidRDefault="00591A0E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91A0E" w:rsidRPr="00591A0E" w:rsidRDefault="00591A0E" w:rsidP="00531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bCs/>
                <w:sz w:val="24"/>
                <w:szCs w:val="24"/>
              </w:rPr>
              <w:t>1 947,00</w:t>
            </w:r>
          </w:p>
        </w:tc>
        <w:tc>
          <w:tcPr>
            <w:tcW w:w="1277" w:type="dxa"/>
            <w:gridSpan w:val="2"/>
          </w:tcPr>
          <w:p w:rsidR="00591A0E" w:rsidRPr="00591A0E" w:rsidRDefault="00591A0E" w:rsidP="00531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bCs/>
                <w:sz w:val="24"/>
                <w:szCs w:val="24"/>
              </w:rPr>
              <w:t>1 946,06</w:t>
            </w:r>
          </w:p>
        </w:tc>
        <w:tc>
          <w:tcPr>
            <w:tcW w:w="1137" w:type="dxa"/>
            <w:gridSpan w:val="2"/>
          </w:tcPr>
          <w:p w:rsidR="00591A0E" w:rsidRPr="00591A0E" w:rsidRDefault="00591A0E" w:rsidP="00531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bCs/>
                <w:sz w:val="24"/>
                <w:szCs w:val="24"/>
              </w:rPr>
              <w:t>-1,00</w:t>
            </w:r>
          </w:p>
        </w:tc>
        <w:tc>
          <w:tcPr>
            <w:tcW w:w="991" w:type="dxa"/>
          </w:tcPr>
          <w:p w:rsidR="00591A0E" w:rsidRPr="00591A0E" w:rsidRDefault="00591A0E" w:rsidP="00531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4537" w:type="dxa"/>
          </w:tcPr>
          <w:p w:rsidR="00591A0E" w:rsidRPr="00E55A64" w:rsidRDefault="00591A0E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A0E" w:rsidRPr="00E55A64" w:rsidRDefault="00591A0E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A0E" w:rsidRPr="00DC1F04" w:rsidTr="007A13B8">
        <w:trPr>
          <w:trHeight w:val="432"/>
        </w:trPr>
        <w:tc>
          <w:tcPr>
            <w:tcW w:w="530" w:type="dxa"/>
            <w:gridSpan w:val="2"/>
            <w:noWrap/>
          </w:tcPr>
          <w:p w:rsidR="00591A0E" w:rsidRPr="00E55A64" w:rsidRDefault="00591A0E" w:rsidP="00DC1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91A0E" w:rsidRPr="00E55A64" w:rsidRDefault="00591A0E" w:rsidP="00B66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A64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276" w:type="dxa"/>
            <w:gridSpan w:val="2"/>
          </w:tcPr>
          <w:p w:rsidR="00591A0E" w:rsidRPr="00E55A64" w:rsidRDefault="00591A0E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91A0E" w:rsidRPr="00591A0E" w:rsidRDefault="00591A0E" w:rsidP="00531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bCs/>
                <w:sz w:val="24"/>
                <w:szCs w:val="24"/>
              </w:rPr>
              <w:t>1 947,00</w:t>
            </w:r>
          </w:p>
        </w:tc>
        <w:tc>
          <w:tcPr>
            <w:tcW w:w="1277" w:type="dxa"/>
            <w:gridSpan w:val="2"/>
          </w:tcPr>
          <w:p w:rsidR="00591A0E" w:rsidRPr="00591A0E" w:rsidRDefault="00591A0E" w:rsidP="00531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bCs/>
                <w:sz w:val="24"/>
                <w:szCs w:val="24"/>
              </w:rPr>
              <w:t>1 946,06</w:t>
            </w:r>
          </w:p>
        </w:tc>
        <w:tc>
          <w:tcPr>
            <w:tcW w:w="1137" w:type="dxa"/>
            <w:gridSpan w:val="2"/>
          </w:tcPr>
          <w:p w:rsidR="00591A0E" w:rsidRPr="00591A0E" w:rsidRDefault="00591A0E" w:rsidP="00531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bCs/>
                <w:sz w:val="24"/>
                <w:szCs w:val="24"/>
              </w:rPr>
              <w:t>-1,00</w:t>
            </w:r>
          </w:p>
        </w:tc>
        <w:tc>
          <w:tcPr>
            <w:tcW w:w="991" w:type="dxa"/>
          </w:tcPr>
          <w:p w:rsidR="00591A0E" w:rsidRPr="00591A0E" w:rsidRDefault="00591A0E" w:rsidP="00531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4537" w:type="dxa"/>
          </w:tcPr>
          <w:p w:rsidR="00591A0E" w:rsidRPr="00E55A64" w:rsidRDefault="00591A0E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A0E" w:rsidRPr="00E55A64" w:rsidRDefault="00591A0E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91E" w:rsidRPr="00DC1F04" w:rsidTr="00ED25F4">
        <w:trPr>
          <w:trHeight w:val="44"/>
        </w:trPr>
        <w:tc>
          <w:tcPr>
            <w:tcW w:w="3777" w:type="dxa"/>
            <w:gridSpan w:val="4"/>
            <w:noWrap/>
          </w:tcPr>
          <w:p w:rsidR="007D091E" w:rsidRPr="00E55A64" w:rsidRDefault="007D091E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55A64">
              <w:rPr>
                <w:rFonts w:ascii="Times New Roman" w:hAnsi="Times New Roman"/>
                <w:b/>
                <w:sz w:val="24"/>
                <w:szCs w:val="24"/>
              </w:rPr>
              <w:t xml:space="preserve">сего 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Pr="00E55A64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282" w:type="dxa"/>
            <w:gridSpan w:val="2"/>
          </w:tcPr>
          <w:p w:rsidR="007D091E" w:rsidRPr="00E55A64" w:rsidRDefault="007D091E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7D091E" w:rsidRPr="00591A0E" w:rsidRDefault="007D091E" w:rsidP="00E5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91A0E" w:rsidRPr="00591A0E">
              <w:rPr>
                <w:rFonts w:ascii="Times New Roman" w:hAnsi="Times New Roman"/>
                <w:b/>
                <w:sz w:val="24"/>
                <w:szCs w:val="24"/>
              </w:rPr>
              <w:t>2 169,00</w:t>
            </w:r>
          </w:p>
        </w:tc>
        <w:tc>
          <w:tcPr>
            <w:tcW w:w="1277" w:type="dxa"/>
            <w:gridSpan w:val="2"/>
          </w:tcPr>
          <w:p w:rsidR="007D091E" w:rsidRPr="00591A0E" w:rsidRDefault="00591A0E" w:rsidP="00E5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sz w:val="24"/>
                <w:szCs w:val="24"/>
              </w:rPr>
              <w:t>28 297,15</w:t>
            </w:r>
          </w:p>
        </w:tc>
        <w:tc>
          <w:tcPr>
            <w:tcW w:w="1137" w:type="dxa"/>
            <w:gridSpan w:val="2"/>
          </w:tcPr>
          <w:p w:rsidR="007D091E" w:rsidRPr="00591A0E" w:rsidRDefault="007D091E" w:rsidP="00591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91A0E" w:rsidRPr="00591A0E">
              <w:rPr>
                <w:rFonts w:ascii="Times New Roman" w:hAnsi="Times New Roman"/>
                <w:b/>
                <w:sz w:val="24"/>
                <w:szCs w:val="24"/>
              </w:rPr>
              <w:t>3871,85</w:t>
            </w:r>
          </w:p>
        </w:tc>
        <w:tc>
          <w:tcPr>
            <w:tcW w:w="991" w:type="dxa"/>
          </w:tcPr>
          <w:p w:rsidR="007D091E" w:rsidRPr="00591A0E" w:rsidRDefault="00591A0E" w:rsidP="00E5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0E">
              <w:rPr>
                <w:rFonts w:ascii="Times New Roman" w:hAnsi="Times New Roman"/>
                <w:b/>
                <w:sz w:val="24"/>
                <w:szCs w:val="24"/>
              </w:rPr>
              <w:t>87,96</w:t>
            </w:r>
          </w:p>
        </w:tc>
        <w:tc>
          <w:tcPr>
            <w:tcW w:w="5813" w:type="dxa"/>
            <w:gridSpan w:val="2"/>
          </w:tcPr>
          <w:p w:rsidR="007D091E" w:rsidRPr="00591A0E" w:rsidRDefault="007D091E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7802" w:rsidRDefault="00997802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3091" w:rsidRDefault="00B53091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91" w:rsidRDefault="00B53091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4C" w:rsidRDefault="000D444C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4C" w:rsidRDefault="000D444C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4C" w:rsidRDefault="000D444C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685" w:rsidRDefault="00FA1685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685" w:rsidRDefault="00FA1685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685" w:rsidRDefault="00FA1685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685" w:rsidRDefault="00FA1685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685" w:rsidRDefault="00FA1685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B8" w:rsidRDefault="007A13B8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685" w:rsidRDefault="00FA1685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91" w:rsidRDefault="00B53091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91" w:rsidRPr="0039074F" w:rsidRDefault="00B53091" w:rsidP="00B530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074F"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B53091" w:rsidRPr="0039074F" w:rsidRDefault="00B53091" w:rsidP="00B530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07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B53091" w:rsidRPr="0039074F" w:rsidRDefault="00B53091" w:rsidP="00B530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07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муниципальной программы города </w:t>
      </w:r>
      <w:proofErr w:type="gramStart"/>
      <w:r w:rsidRPr="0039074F">
        <w:rPr>
          <w:rFonts w:ascii="Times New Roman" w:hAnsi="Times New Roman"/>
          <w:sz w:val="24"/>
          <w:szCs w:val="24"/>
        </w:rPr>
        <w:t>Радужный</w:t>
      </w:r>
      <w:proofErr w:type="gramEnd"/>
      <w:r w:rsidRPr="0039074F">
        <w:rPr>
          <w:rFonts w:ascii="Times New Roman" w:hAnsi="Times New Roman"/>
          <w:sz w:val="24"/>
          <w:szCs w:val="24"/>
        </w:rPr>
        <w:t xml:space="preserve"> </w:t>
      </w:r>
    </w:p>
    <w:p w:rsidR="00B53091" w:rsidRPr="0039074F" w:rsidRDefault="00B53091" w:rsidP="00B530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07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«Управление муниципальными финансами </w:t>
      </w:r>
      <w:r w:rsidR="0039074F">
        <w:rPr>
          <w:rFonts w:ascii="Times New Roman" w:hAnsi="Times New Roman"/>
          <w:sz w:val="24"/>
          <w:szCs w:val="24"/>
        </w:rPr>
        <w:t xml:space="preserve"> </w:t>
      </w:r>
      <w:r w:rsidRPr="0039074F">
        <w:rPr>
          <w:rFonts w:ascii="Times New Roman" w:hAnsi="Times New Roman"/>
          <w:sz w:val="24"/>
          <w:szCs w:val="24"/>
        </w:rPr>
        <w:t xml:space="preserve">в                      муниципальном образовании город Радужный                                                                                                                  </w:t>
      </w:r>
    </w:p>
    <w:p w:rsidR="00B53091" w:rsidRPr="0039074F" w:rsidRDefault="00B53091" w:rsidP="00B530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074F">
        <w:rPr>
          <w:rFonts w:ascii="Times New Roman" w:hAnsi="Times New Roman"/>
          <w:sz w:val="24"/>
          <w:szCs w:val="24"/>
        </w:rPr>
        <w:t xml:space="preserve"> на 2014-2020 годы»  в 2015 году                                                                                                       </w:t>
      </w:r>
    </w:p>
    <w:p w:rsidR="00B53091" w:rsidRPr="00EE6EA3" w:rsidRDefault="00B53091" w:rsidP="00B53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3091" w:rsidRPr="00126833" w:rsidRDefault="00B53091" w:rsidP="00B53091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126833">
        <w:rPr>
          <w:rFonts w:ascii="Times New Roman" w:hAnsi="Times New Roman"/>
          <w:b/>
          <w:sz w:val="26"/>
          <w:szCs w:val="28"/>
        </w:rPr>
        <w:t>Отчёт о реализации муниципальной программы города Радужный</w:t>
      </w:r>
    </w:p>
    <w:p w:rsidR="00B53091" w:rsidRPr="00126833" w:rsidRDefault="00B53091" w:rsidP="00B53091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126833">
        <w:rPr>
          <w:rFonts w:ascii="Times New Roman" w:hAnsi="Times New Roman"/>
          <w:b/>
          <w:sz w:val="26"/>
          <w:szCs w:val="28"/>
        </w:rPr>
        <w:t>«Управление муниципальными финансами в муниципальном образовании город Радужный на 2014-2020 годы» в 2015 году, в части достижения целевых показателей</w:t>
      </w:r>
    </w:p>
    <w:p w:rsidR="00B53091" w:rsidRDefault="00B53091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48" w:type="dxa"/>
        <w:tblInd w:w="95" w:type="dxa"/>
        <w:tblLook w:val="04A0"/>
      </w:tblPr>
      <w:tblGrid>
        <w:gridCol w:w="486"/>
        <w:gridCol w:w="3478"/>
        <w:gridCol w:w="1113"/>
        <w:gridCol w:w="1283"/>
        <w:gridCol w:w="1319"/>
        <w:gridCol w:w="1284"/>
        <w:gridCol w:w="1514"/>
        <w:gridCol w:w="5271"/>
      </w:tblGrid>
      <w:tr w:rsidR="00B53091" w:rsidRPr="00B53091" w:rsidTr="0012683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реализации программы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отклонений значения показателя</w:t>
            </w:r>
          </w:p>
        </w:tc>
      </w:tr>
      <w:tr w:rsidR="00B53091" w:rsidRPr="00B53091" w:rsidTr="00126833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Относительное значение, %</w:t>
            </w:r>
          </w:p>
        </w:tc>
        <w:tc>
          <w:tcPr>
            <w:tcW w:w="5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B53091" w:rsidTr="0012683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53091" w:rsidRPr="00B53091" w:rsidTr="00126833">
        <w:trPr>
          <w:trHeight w:val="315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</w:tr>
      <w:tr w:rsidR="00B53091" w:rsidRPr="00B53091" w:rsidTr="00126833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долгосрочного бюджетного планирования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53091" w:rsidRPr="00B53091" w:rsidTr="00857CDC">
        <w:trPr>
          <w:trHeight w:val="54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отклонения фактического объема налоговых и неналоговых доходов бюджета города (без учета доходов от штрафов, санкций, возмещения ущерба) за отчетный год от первоначально утвержденного плана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498" w:rsidRPr="00FA1685" w:rsidRDefault="00B53091" w:rsidP="00126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отклонения фактического объема налоговых и неналоговых доходов бюджета города (без учета доходов от штрафов, санкций, возмещения ущерба) за отчетный год от первоначально утвержденного плана 2015 года составил 10,2%. Основной причиной отклонения  является неисполнение в 2015 году </w:t>
            </w:r>
            <w:r w:rsidR="00945BE7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плановых назначений  по налогу</w:t>
            </w: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доходы физических лиц. Первоначальные плановы</w:t>
            </w:r>
            <w:r w:rsidR="00945BE7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назначений по налогу на доходы</w:t>
            </w: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физических лиц на 2015 год были утверждены в сумме 534 743,5 тыс. рублей</w:t>
            </w:r>
            <w:proofErr w:type="gramStart"/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r w:rsidR="00734C28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734C28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поступление налога на доходы физических лиц за 2015 год составило 439 590,22 тыс. рублей</w:t>
            </w: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Причинами отклонения фактического поступления налога на доходы физических лиц от первоначальных плановых назначений </w:t>
            </w:r>
            <w:r w:rsidR="00C91498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являются</w:t>
            </w: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C91498" w:rsidRPr="00FA1685" w:rsidRDefault="00C91498" w:rsidP="00126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53091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FA1685">
              <w:rPr>
                <w:rFonts w:ascii="Times New Roman" w:hAnsi="Times New Roman"/>
                <w:sz w:val="20"/>
                <w:szCs w:val="20"/>
              </w:rPr>
              <w:t>снижение численности работающих на крупных и средних предприятиях;</w:t>
            </w:r>
            <w:proofErr w:type="gramEnd"/>
          </w:p>
          <w:p w:rsidR="00C91498" w:rsidRPr="00FA1685" w:rsidRDefault="00C91498" w:rsidP="00126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16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A1685">
              <w:rPr>
                <w:rFonts w:ascii="Times New Roman" w:hAnsi="Times New Roman"/>
                <w:sz w:val="20"/>
                <w:szCs w:val="20"/>
              </w:rPr>
              <w:t>уменьшение численности работников, связанное с переводом на другие территориальные участки;</w:t>
            </w:r>
          </w:p>
          <w:p w:rsidR="00C91498" w:rsidRPr="00FA1685" w:rsidRDefault="00C91498" w:rsidP="00126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1685">
              <w:rPr>
                <w:rFonts w:ascii="Times New Roman" w:hAnsi="Times New Roman"/>
                <w:sz w:val="20"/>
                <w:szCs w:val="20"/>
              </w:rPr>
              <w:t>- сокращение привлекаемых иностранных работников, прекращение действия контрактов нерезидентов страны;</w:t>
            </w:r>
          </w:p>
          <w:p w:rsidR="00C91498" w:rsidRPr="00C91498" w:rsidRDefault="00C91498" w:rsidP="00126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1685">
              <w:rPr>
                <w:rFonts w:ascii="Times New Roman" w:hAnsi="Times New Roman"/>
                <w:sz w:val="20"/>
                <w:szCs w:val="20"/>
              </w:rPr>
              <w:t xml:space="preserve">- 22 </w:t>
            </w:r>
            <w:proofErr w:type="gramStart"/>
            <w:r w:rsidRPr="00FA1685">
              <w:rPr>
                <w:rFonts w:ascii="Times New Roman" w:hAnsi="Times New Roman"/>
                <w:sz w:val="20"/>
                <w:szCs w:val="20"/>
              </w:rPr>
              <w:t>обособленных</w:t>
            </w:r>
            <w:proofErr w:type="gramEnd"/>
            <w:r w:rsidRPr="00FA1685">
              <w:rPr>
                <w:rFonts w:ascii="Times New Roman" w:hAnsi="Times New Roman"/>
                <w:sz w:val="20"/>
                <w:szCs w:val="20"/>
              </w:rPr>
              <w:t xml:space="preserve"> подразделения сняты с регистрационного учета (данные Межрайонной Федеральной налоговой службы №6 по Ханты-Мансийскому автономному округу - </w:t>
            </w:r>
            <w:proofErr w:type="spellStart"/>
            <w:r w:rsidRPr="00FA1685">
              <w:rPr>
                <w:rFonts w:ascii="Times New Roman" w:hAnsi="Times New Roman"/>
                <w:sz w:val="20"/>
                <w:szCs w:val="20"/>
              </w:rPr>
              <w:t>Югре</w:t>
            </w:r>
            <w:proofErr w:type="spellEnd"/>
            <w:r w:rsidRPr="00FA168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B53091" w:rsidTr="00126833">
        <w:trPr>
          <w:trHeight w:val="22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главных распорядителей бюджетных средств муниципального образования, имеющих оценку качества финансового менеджмента выше </w:t>
            </w:r>
            <w:proofErr w:type="gramStart"/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не выполнен в связи с тем, что главные распорядители бюджетных средств не в полной мере обеспечивали качество финансового менеджмента, были допущены следующие нарушения:                                                                                                                                                                                         - некачественное предоставление реестра расходных обязательств на бумажном носителе;                                                                                                                                   -</w:t>
            </w:r>
            <w:r w:rsidR="0039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большое количество передвижек в сводной бюджетной росписи, произведенных ГРБС в отчетном году;                                                                                                    -</w:t>
            </w:r>
            <w:r w:rsidR="0039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в ходе проведения контрольных мероприятий Счетной палатой города Радужный и т.д.</w:t>
            </w:r>
            <w:proofErr w:type="gramEnd"/>
          </w:p>
        </w:tc>
      </w:tr>
      <w:tr w:rsidR="00B53091" w:rsidRPr="00B53091" w:rsidTr="00126833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бюджетных ассигнований, предусмотренных за счёт средств бюджета города в рамках муниципальных программ в общих расходах бюджета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B53091" w:rsidTr="00126833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 бюджетных мер принуждения к нарушителям бюджетного законодательства РФ, иных нормативных правовых актов, регулирующих бюджетные правоотношения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B53091" w:rsidTr="00126833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нарушений сроков исполнения гарантом муниципальных гарантий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FA1685" w:rsidRDefault="00FF7A6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Случаи исполнения  гарантом муниципальных гарантий отсутствуют.</w:t>
            </w:r>
          </w:p>
        </w:tc>
      </w:tr>
      <w:tr w:rsidR="00B53091" w:rsidRPr="00B53091" w:rsidTr="00126833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планируется с 2016 года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FA1685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B53091" w:rsidTr="00126833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обязательств по муниципальным заимствованиям в установленные сроки и в полном объеме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FA1685" w:rsidRDefault="00FF7A6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Обязательства по муниципальным заимствованиям исполнены в установленные сроки и в полном объеме.</w:t>
            </w:r>
          </w:p>
        </w:tc>
      </w:tr>
      <w:tr w:rsidR="00B53091" w:rsidRPr="00B53091" w:rsidTr="0012683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главных распорядителей средств бюджета города, представивших отчетность в сроки, установленные комитетом финансов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FA1685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B53091" w:rsidTr="00126833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возможности муниципальным учреждениям города доступа к региональному сегменту информационной системы «Электронный бюджет»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планируется с 2016 года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B53091" w:rsidTr="00126833">
        <w:trPr>
          <w:trHeight w:val="17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размещенной </w:t>
            </w:r>
            <w:proofErr w:type="gramStart"/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B53091" w:rsidTr="00126833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программно-техническими средствами специалистов комитета финансов в объеме достаточном для исполнения должностных обязанностей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B53091" w:rsidTr="00126833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лиц, охваченных мероприятиями, направленными на повышение финансовой грамотности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B53091" w:rsidTr="00126833">
        <w:trPr>
          <w:trHeight w:val="315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33" w:rsidRDefault="00126833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конечных результатов</w:t>
            </w:r>
          </w:p>
        </w:tc>
      </w:tr>
      <w:tr w:rsidR="00B53091" w:rsidRPr="00B53091" w:rsidTr="00126833">
        <w:trPr>
          <w:trHeight w:val="6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исполнения первоначальных плановых назначений по налоговым и неналоговым доходам (без учета доходов от штрафов, санкций, возмещения ущерба) на уровне не менее 100 %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1" w:rsidRPr="00B53091" w:rsidRDefault="00B53091" w:rsidP="0012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F4" w:rsidRPr="00FA1685" w:rsidRDefault="00B53091" w:rsidP="00126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исполнения первоначальных плановых назначений по налоговым и неналоговым доходам (без учета доходов от штрафов, санкций, возме</w:t>
            </w:r>
            <w:r w:rsidR="00734C28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щения ущерба) составило 89,8 %, что ниже установленного значения, показатель не выполнен</w:t>
            </w:r>
            <w:proofErr w:type="gramStart"/>
            <w:r w:rsidR="00734C28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734C28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сновной причиной отклонения фа</w:t>
            </w: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ктического объема доходов бюджета города от первоначально утвержденного плана является неисполнение в 2015 году</w:t>
            </w:r>
            <w:r w:rsidR="00734C28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плановых назначений </w:t>
            </w: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налога на доходы физических лиц. Первоначальные плановые назначений по налогу </w:t>
            </w:r>
            <w:proofErr w:type="gramStart"/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доходу</w:t>
            </w:r>
            <w:proofErr w:type="gramEnd"/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физических лиц на 2015 год были утверждены в сумме 534 743,5 тыс. рублей. </w:t>
            </w:r>
            <w:r w:rsidR="00734C28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поступление налога на доходы физических лиц за 2015 год составило </w:t>
            </w: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439 590,2</w:t>
            </w:r>
            <w:r w:rsidR="00734C28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рублей. Причинами отклонения фактического поступления налога на доходы физических лиц от первоначальных плановых назначений </w:t>
            </w:r>
            <w:r w:rsidR="003E70F4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являются</w:t>
            </w: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3E70F4" w:rsidRPr="00FA1685" w:rsidRDefault="003E70F4" w:rsidP="00126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34C28"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A1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1685">
              <w:rPr>
                <w:rFonts w:ascii="Times New Roman" w:hAnsi="Times New Roman"/>
                <w:sz w:val="20"/>
                <w:szCs w:val="20"/>
              </w:rPr>
              <w:t>снижение численности работающих на крупных и средних предприятиях;</w:t>
            </w:r>
            <w:proofErr w:type="gramEnd"/>
          </w:p>
          <w:p w:rsidR="003E70F4" w:rsidRPr="00FA1685" w:rsidRDefault="003E70F4" w:rsidP="00126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16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A1685">
              <w:rPr>
                <w:rFonts w:ascii="Times New Roman" w:hAnsi="Times New Roman"/>
                <w:sz w:val="20"/>
                <w:szCs w:val="20"/>
              </w:rPr>
              <w:t>уменьшение численности работников, связанное с переводом на другие территориальные участки;</w:t>
            </w:r>
          </w:p>
          <w:p w:rsidR="003E70F4" w:rsidRPr="00FA1685" w:rsidRDefault="003E70F4" w:rsidP="00126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1685">
              <w:rPr>
                <w:rFonts w:ascii="Times New Roman" w:hAnsi="Times New Roman"/>
                <w:sz w:val="20"/>
                <w:szCs w:val="20"/>
              </w:rPr>
              <w:t>- сокращение привлекаемых иностранных работников, прекращение действия контрактов нерезидентов страны;</w:t>
            </w:r>
          </w:p>
          <w:p w:rsidR="00B53091" w:rsidRPr="00B53091" w:rsidRDefault="003E70F4" w:rsidP="00126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1685">
              <w:rPr>
                <w:rFonts w:ascii="Times New Roman" w:hAnsi="Times New Roman"/>
                <w:sz w:val="20"/>
                <w:szCs w:val="20"/>
              </w:rPr>
              <w:t xml:space="preserve">- 22 </w:t>
            </w:r>
            <w:proofErr w:type="gramStart"/>
            <w:r w:rsidRPr="00FA1685">
              <w:rPr>
                <w:rFonts w:ascii="Times New Roman" w:hAnsi="Times New Roman"/>
                <w:sz w:val="20"/>
                <w:szCs w:val="20"/>
              </w:rPr>
              <w:t>обособленных</w:t>
            </w:r>
            <w:proofErr w:type="gramEnd"/>
            <w:r w:rsidRPr="00FA1685">
              <w:rPr>
                <w:rFonts w:ascii="Times New Roman" w:hAnsi="Times New Roman"/>
                <w:sz w:val="20"/>
                <w:szCs w:val="20"/>
              </w:rPr>
              <w:t xml:space="preserve"> подразделения сняты с регистрационного учета (данные Межрайонной Федеральной налоговой службы №6 по Ханты-Мансийскому автономному округу - </w:t>
            </w:r>
            <w:proofErr w:type="spellStart"/>
            <w:r w:rsidRPr="00FA1685">
              <w:rPr>
                <w:rFonts w:ascii="Times New Roman" w:hAnsi="Times New Roman"/>
                <w:sz w:val="20"/>
                <w:szCs w:val="20"/>
              </w:rPr>
              <w:t>Югре</w:t>
            </w:r>
            <w:proofErr w:type="spellEnd"/>
            <w:r w:rsidRPr="00FA168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53091" w:rsidRPr="00B53091" w:rsidTr="00126833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расходных обязательств муниципального образования за отчетный финансовый год в размере не менее 95% от бюджетных ассигнований, утвержденных решением о бюджете города </w:t>
            </w: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Радужный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390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92%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091" w:rsidRPr="00B53091" w:rsidTr="00126833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индекс </w:t>
            </w:r>
            <w:proofErr w:type="gramStart"/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качества финансового менеджмента главных распорядителей средств бюджета города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129%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091" w:rsidRPr="00B53091" w:rsidTr="00126833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единого информационного пространства и осуществление интеграции информационных потоков в сфере управления общественными финансами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планируется с 2016 года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B53091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97802" w:rsidRDefault="00997802" w:rsidP="00757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7802" w:rsidSect="00ED25F4">
      <w:pgSz w:w="16837" w:h="11905" w:orient="landscape"/>
      <w:pgMar w:top="1134" w:right="567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pt" o:bullet="t">
        <v:imagedata r:id="rId1" o:title="BD21300_"/>
      </v:shape>
    </w:pict>
  </w:numPicBullet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C3180"/>
    <w:multiLevelType w:val="hybridMultilevel"/>
    <w:tmpl w:val="C734BF08"/>
    <w:lvl w:ilvl="0" w:tplc="2D009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A73F6"/>
    <w:multiLevelType w:val="hybridMultilevel"/>
    <w:tmpl w:val="FFA4FC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20C7D"/>
    <w:rsid w:val="0000148F"/>
    <w:rsid w:val="00003630"/>
    <w:rsid w:val="000054CB"/>
    <w:rsid w:val="00006168"/>
    <w:rsid w:val="00016415"/>
    <w:rsid w:val="00021BE8"/>
    <w:rsid w:val="0004532F"/>
    <w:rsid w:val="00056DA6"/>
    <w:rsid w:val="00056F75"/>
    <w:rsid w:val="00070FB0"/>
    <w:rsid w:val="00082B58"/>
    <w:rsid w:val="000A4BF0"/>
    <w:rsid w:val="000A695F"/>
    <w:rsid w:val="000B0E7C"/>
    <w:rsid w:val="000D2473"/>
    <w:rsid w:val="000D444C"/>
    <w:rsid w:val="000D5C85"/>
    <w:rsid w:val="000D71BA"/>
    <w:rsid w:val="000E4DCD"/>
    <w:rsid w:val="000E7B51"/>
    <w:rsid w:val="00104C51"/>
    <w:rsid w:val="00126833"/>
    <w:rsid w:val="00126C16"/>
    <w:rsid w:val="00135798"/>
    <w:rsid w:val="001357CD"/>
    <w:rsid w:val="0013768A"/>
    <w:rsid w:val="001512E1"/>
    <w:rsid w:val="001515FA"/>
    <w:rsid w:val="001529F1"/>
    <w:rsid w:val="00162258"/>
    <w:rsid w:val="00192CDC"/>
    <w:rsid w:val="001953B4"/>
    <w:rsid w:val="001A0B93"/>
    <w:rsid w:val="001D154E"/>
    <w:rsid w:val="001D58F7"/>
    <w:rsid w:val="001E53A5"/>
    <w:rsid w:val="001F216A"/>
    <w:rsid w:val="001F4264"/>
    <w:rsid w:val="00202E3A"/>
    <w:rsid w:val="00221916"/>
    <w:rsid w:val="00242880"/>
    <w:rsid w:val="00255AFD"/>
    <w:rsid w:val="002A7392"/>
    <w:rsid w:val="002B658A"/>
    <w:rsid w:val="002D0E67"/>
    <w:rsid w:val="002D6555"/>
    <w:rsid w:val="002E2C09"/>
    <w:rsid w:val="002E44CF"/>
    <w:rsid w:val="002E7299"/>
    <w:rsid w:val="002E7EA3"/>
    <w:rsid w:val="002F4824"/>
    <w:rsid w:val="002F5E09"/>
    <w:rsid w:val="00302370"/>
    <w:rsid w:val="00337AA9"/>
    <w:rsid w:val="0035112B"/>
    <w:rsid w:val="00360839"/>
    <w:rsid w:val="00363202"/>
    <w:rsid w:val="00363E1C"/>
    <w:rsid w:val="00367D22"/>
    <w:rsid w:val="00371882"/>
    <w:rsid w:val="0037297D"/>
    <w:rsid w:val="003734C2"/>
    <w:rsid w:val="0037485E"/>
    <w:rsid w:val="0039074F"/>
    <w:rsid w:val="003954E0"/>
    <w:rsid w:val="003A3626"/>
    <w:rsid w:val="003B5C42"/>
    <w:rsid w:val="003D5423"/>
    <w:rsid w:val="003E18E0"/>
    <w:rsid w:val="003E70F4"/>
    <w:rsid w:val="00414B90"/>
    <w:rsid w:val="00424B23"/>
    <w:rsid w:val="00432581"/>
    <w:rsid w:val="004471B2"/>
    <w:rsid w:val="004614A7"/>
    <w:rsid w:val="00471122"/>
    <w:rsid w:val="0047558D"/>
    <w:rsid w:val="00477792"/>
    <w:rsid w:val="00485C14"/>
    <w:rsid w:val="004A6C6C"/>
    <w:rsid w:val="004B1C74"/>
    <w:rsid w:val="004B437C"/>
    <w:rsid w:val="004B476C"/>
    <w:rsid w:val="004C04A4"/>
    <w:rsid w:val="004C2102"/>
    <w:rsid w:val="004E2C23"/>
    <w:rsid w:val="004E43C2"/>
    <w:rsid w:val="004F4DD0"/>
    <w:rsid w:val="00503E0F"/>
    <w:rsid w:val="00520C7D"/>
    <w:rsid w:val="00536056"/>
    <w:rsid w:val="005424C0"/>
    <w:rsid w:val="005566E8"/>
    <w:rsid w:val="00566608"/>
    <w:rsid w:val="00591A0E"/>
    <w:rsid w:val="00592102"/>
    <w:rsid w:val="005951CC"/>
    <w:rsid w:val="00596ABC"/>
    <w:rsid w:val="005977DB"/>
    <w:rsid w:val="005D2E1B"/>
    <w:rsid w:val="005D7A2C"/>
    <w:rsid w:val="005E21DD"/>
    <w:rsid w:val="005E379B"/>
    <w:rsid w:val="005E3CBD"/>
    <w:rsid w:val="005E666A"/>
    <w:rsid w:val="005E66EC"/>
    <w:rsid w:val="005F3A21"/>
    <w:rsid w:val="006013F8"/>
    <w:rsid w:val="00633D50"/>
    <w:rsid w:val="00635DF9"/>
    <w:rsid w:val="00650ECD"/>
    <w:rsid w:val="00651E24"/>
    <w:rsid w:val="00652DE5"/>
    <w:rsid w:val="00671FCC"/>
    <w:rsid w:val="006927A5"/>
    <w:rsid w:val="00695513"/>
    <w:rsid w:val="006A1EDF"/>
    <w:rsid w:val="006A2F8A"/>
    <w:rsid w:val="006E0D31"/>
    <w:rsid w:val="006E79D1"/>
    <w:rsid w:val="006E7BC7"/>
    <w:rsid w:val="006F160A"/>
    <w:rsid w:val="006F6834"/>
    <w:rsid w:val="007137E0"/>
    <w:rsid w:val="00731960"/>
    <w:rsid w:val="00734C28"/>
    <w:rsid w:val="00744A18"/>
    <w:rsid w:val="00757EA3"/>
    <w:rsid w:val="007A13B8"/>
    <w:rsid w:val="007A1833"/>
    <w:rsid w:val="007B13E8"/>
    <w:rsid w:val="007C0F2A"/>
    <w:rsid w:val="007C1F59"/>
    <w:rsid w:val="007C7F6B"/>
    <w:rsid w:val="007D091E"/>
    <w:rsid w:val="007D42E8"/>
    <w:rsid w:val="007E671A"/>
    <w:rsid w:val="007F32BA"/>
    <w:rsid w:val="008224E8"/>
    <w:rsid w:val="008447ED"/>
    <w:rsid w:val="00852C91"/>
    <w:rsid w:val="00857CDC"/>
    <w:rsid w:val="008721D4"/>
    <w:rsid w:val="00874FA1"/>
    <w:rsid w:val="00876ED2"/>
    <w:rsid w:val="008A6140"/>
    <w:rsid w:val="008A6A17"/>
    <w:rsid w:val="008B12C0"/>
    <w:rsid w:val="008C103C"/>
    <w:rsid w:val="008D12FD"/>
    <w:rsid w:val="008D3A3F"/>
    <w:rsid w:val="008F610D"/>
    <w:rsid w:val="0090024D"/>
    <w:rsid w:val="009258EF"/>
    <w:rsid w:val="00942915"/>
    <w:rsid w:val="00943008"/>
    <w:rsid w:val="00945470"/>
    <w:rsid w:val="00945BE7"/>
    <w:rsid w:val="00950B0E"/>
    <w:rsid w:val="00953007"/>
    <w:rsid w:val="00981560"/>
    <w:rsid w:val="00986408"/>
    <w:rsid w:val="00997802"/>
    <w:rsid w:val="009B269C"/>
    <w:rsid w:val="009B483D"/>
    <w:rsid w:val="009C3CAD"/>
    <w:rsid w:val="009C5D00"/>
    <w:rsid w:val="009E0BBC"/>
    <w:rsid w:val="009E1B35"/>
    <w:rsid w:val="009E688E"/>
    <w:rsid w:val="009F438C"/>
    <w:rsid w:val="00A15F77"/>
    <w:rsid w:val="00A170D5"/>
    <w:rsid w:val="00A32F9A"/>
    <w:rsid w:val="00A3476E"/>
    <w:rsid w:val="00A56199"/>
    <w:rsid w:val="00A614A4"/>
    <w:rsid w:val="00A6746F"/>
    <w:rsid w:val="00A857D0"/>
    <w:rsid w:val="00A904D5"/>
    <w:rsid w:val="00AB1910"/>
    <w:rsid w:val="00AC41D7"/>
    <w:rsid w:val="00AD3606"/>
    <w:rsid w:val="00AE0012"/>
    <w:rsid w:val="00AE666F"/>
    <w:rsid w:val="00AF2334"/>
    <w:rsid w:val="00AF58B2"/>
    <w:rsid w:val="00AF7475"/>
    <w:rsid w:val="00B059F7"/>
    <w:rsid w:val="00B060C7"/>
    <w:rsid w:val="00B10C0C"/>
    <w:rsid w:val="00B11863"/>
    <w:rsid w:val="00B17389"/>
    <w:rsid w:val="00B21691"/>
    <w:rsid w:val="00B21A7C"/>
    <w:rsid w:val="00B21D00"/>
    <w:rsid w:val="00B265F6"/>
    <w:rsid w:val="00B31286"/>
    <w:rsid w:val="00B32B8C"/>
    <w:rsid w:val="00B35FA8"/>
    <w:rsid w:val="00B44567"/>
    <w:rsid w:val="00B44C5F"/>
    <w:rsid w:val="00B53091"/>
    <w:rsid w:val="00B81848"/>
    <w:rsid w:val="00B81C0D"/>
    <w:rsid w:val="00B93436"/>
    <w:rsid w:val="00BA1E84"/>
    <w:rsid w:val="00BB4D4D"/>
    <w:rsid w:val="00BB65E6"/>
    <w:rsid w:val="00BC6A61"/>
    <w:rsid w:val="00BD1178"/>
    <w:rsid w:val="00C04EF5"/>
    <w:rsid w:val="00C203C3"/>
    <w:rsid w:val="00C35226"/>
    <w:rsid w:val="00C5065F"/>
    <w:rsid w:val="00C53F14"/>
    <w:rsid w:val="00C555D5"/>
    <w:rsid w:val="00C55962"/>
    <w:rsid w:val="00C56A0A"/>
    <w:rsid w:val="00C67595"/>
    <w:rsid w:val="00C71AAB"/>
    <w:rsid w:val="00C91498"/>
    <w:rsid w:val="00CB532B"/>
    <w:rsid w:val="00CC3458"/>
    <w:rsid w:val="00CD2D89"/>
    <w:rsid w:val="00CD7E3A"/>
    <w:rsid w:val="00CE2389"/>
    <w:rsid w:val="00CF6A72"/>
    <w:rsid w:val="00D02C6C"/>
    <w:rsid w:val="00D26D9F"/>
    <w:rsid w:val="00D27F7A"/>
    <w:rsid w:val="00D52387"/>
    <w:rsid w:val="00D531DE"/>
    <w:rsid w:val="00D65CDD"/>
    <w:rsid w:val="00DA31FB"/>
    <w:rsid w:val="00DA4315"/>
    <w:rsid w:val="00DA44C9"/>
    <w:rsid w:val="00DA7B58"/>
    <w:rsid w:val="00DB0897"/>
    <w:rsid w:val="00DB1182"/>
    <w:rsid w:val="00DB2257"/>
    <w:rsid w:val="00DB3816"/>
    <w:rsid w:val="00DC1F04"/>
    <w:rsid w:val="00DC291C"/>
    <w:rsid w:val="00DD56D5"/>
    <w:rsid w:val="00DF1E70"/>
    <w:rsid w:val="00E1577C"/>
    <w:rsid w:val="00E162AB"/>
    <w:rsid w:val="00E3132C"/>
    <w:rsid w:val="00E36106"/>
    <w:rsid w:val="00E3760F"/>
    <w:rsid w:val="00E55A64"/>
    <w:rsid w:val="00E71D9D"/>
    <w:rsid w:val="00EA231B"/>
    <w:rsid w:val="00EB335B"/>
    <w:rsid w:val="00ED25F4"/>
    <w:rsid w:val="00EE6EA3"/>
    <w:rsid w:val="00EF4BE6"/>
    <w:rsid w:val="00F01952"/>
    <w:rsid w:val="00F02843"/>
    <w:rsid w:val="00F02FFE"/>
    <w:rsid w:val="00F04275"/>
    <w:rsid w:val="00F23DDC"/>
    <w:rsid w:val="00F24E7B"/>
    <w:rsid w:val="00F36E77"/>
    <w:rsid w:val="00F5044D"/>
    <w:rsid w:val="00F549D8"/>
    <w:rsid w:val="00F62AA8"/>
    <w:rsid w:val="00F76EF5"/>
    <w:rsid w:val="00F943E4"/>
    <w:rsid w:val="00F96CE4"/>
    <w:rsid w:val="00FA1685"/>
    <w:rsid w:val="00FA1BF5"/>
    <w:rsid w:val="00FB1F6C"/>
    <w:rsid w:val="00FC7AD2"/>
    <w:rsid w:val="00FE607C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3E8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945470"/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016415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5951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056DA6"/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Знак1"/>
    <w:basedOn w:val="a"/>
    <w:next w:val="a"/>
    <w:semiHidden/>
    <w:rsid w:val="005666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C6F5-44FE-4017-AE8B-4006A6A4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2326</Words>
  <Characters>18340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Галина Васильевна</dc:creator>
  <cp:lastModifiedBy>Лукина И.В.</cp:lastModifiedBy>
  <cp:revision>14</cp:revision>
  <cp:lastPrinted>2016-06-07T05:43:00Z</cp:lastPrinted>
  <dcterms:created xsi:type="dcterms:W3CDTF">2016-06-07T03:43:00Z</dcterms:created>
  <dcterms:modified xsi:type="dcterms:W3CDTF">2016-06-07T06:42:00Z</dcterms:modified>
</cp:coreProperties>
</file>