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04" w:rsidRDefault="00EC1104" w:rsidP="00FC4B2C">
      <w:pPr>
        <w:spacing w:after="0" w:line="240" w:lineRule="auto"/>
        <w:jc w:val="center"/>
        <w:rPr>
          <w:rFonts w:ascii="Times New Roman" w:hAnsi="Times New Roman"/>
          <w:b/>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8pt;width:45.35pt;height:57.7pt;z-index:-251658240" wrapcoords="-360 0 -360 21319 21600 21319 21600 0 -360 0">
            <v:imagedata r:id="rId5" o:title=""/>
            <w10:wrap type="tight"/>
          </v:shape>
        </w:pict>
      </w:r>
    </w:p>
    <w:p w:rsidR="00EC1104" w:rsidRDefault="00EC1104" w:rsidP="00D704B6">
      <w:pPr>
        <w:spacing w:after="0" w:line="240" w:lineRule="auto"/>
        <w:jc w:val="right"/>
        <w:rPr>
          <w:rFonts w:ascii="Times New Roman" w:hAnsi="Times New Roman"/>
          <w:b/>
          <w:color w:val="000000"/>
          <w:sz w:val="28"/>
          <w:szCs w:val="28"/>
        </w:rPr>
      </w:pPr>
    </w:p>
    <w:p w:rsidR="00EC1104" w:rsidRDefault="00EC1104" w:rsidP="00FC4B2C">
      <w:pPr>
        <w:spacing w:after="0" w:line="240" w:lineRule="auto"/>
        <w:jc w:val="center"/>
        <w:rPr>
          <w:rFonts w:ascii="Times New Roman" w:hAnsi="Times New Roman"/>
          <w:b/>
          <w:color w:val="000000"/>
          <w:sz w:val="28"/>
          <w:szCs w:val="28"/>
        </w:rPr>
      </w:pPr>
    </w:p>
    <w:p w:rsidR="00EC1104" w:rsidRPr="00FC4B2C" w:rsidRDefault="00EC1104" w:rsidP="00FC4B2C">
      <w:pPr>
        <w:autoSpaceDE w:val="0"/>
        <w:autoSpaceDN w:val="0"/>
        <w:adjustRightInd w:val="0"/>
        <w:spacing w:after="0"/>
        <w:jc w:val="center"/>
        <w:rPr>
          <w:rFonts w:ascii="Times New Roman" w:hAnsi="Times New Roman"/>
          <w:b/>
          <w:sz w:val="32"/>
          <w:szCs w:val="32"/>
        </w:rPr>
      </w:pPr>
      <w:r w:rsidRPr="00FC4B2C">
        <w:rPr>
          <w:rFonts w:ascii="Times New Roman" w:hAnsi="Times New Roman"/>
          <w:b/>
          <w:sz w:val="32"/>
          <w:szCs w:val="32"/>
        </w:rPr>
        <w:t>ДУМА ГОРОДА РАДУЖНЫЙ</w:t>
      </w:r>
    </w:p>
    <w:p w:rsidR="00EC1104" w:rsidRPr="00FC4B2C" w:rsidRDefault="00EC1104" w:rsidP="00FC4B2C">
      <w:pPr>
        <w:autoSpaceDE w:val="0"/>
        <w:autoSpaceDN w:val="0"/>
        <w:adjustRightInd w:val="0"/>
        <w:spacing w:after="0"/>
        <w:jc w:val="center"/>
        <w:rPr>
          <w:rFonts w:ascii="Times New Roman" w:hAnsi="Times New Roman"/>
          <w:b/>
          <w:sz w:val="28"/>
          <w:szCs w:val="28"/>
        </w:rPr>
      </w:pPr>
      <w:r w:rsidRPr="00FC4B2C">
        <w:rPr>
          <w:rFonts w:ascii="Times New Roman" w:hAnsi="Times New Roman"/>
          <w:b/>
          <w:sz w:val="28"/>
          <w:szCs w:val="28"/>
        </w:rPr>
        <w:t xml:space="preserve">Ханты-Мансийского автономного округа – Югры </w:t>
      </w:r>
    </w:p>
    <w:p w:rsidR="00EC1104" w:rsidRPr="00FC4B2C" w:rsidRDefault="00EC1104" w:rsidP="00FC4B2C">
      <w:pPr>
        <w:spacing w:after="0"/>
        <w:jc w:val="center"/>
        <w:rPr>
          <w:rFonts w:ascii="Times New Roman" w:hAnsi="Times New Roman"/>
          <w:sz w:val="32"/>
          <w:szCs w:val="32"/>
        </w:rPr>
      </w:pPr>
    </w:p>
    <w:p w:rsidR="00EC1104" w:rsidRPr="00310273" w:rsidRDefault="00EC1104" w:rsidP="00FC4B2C">
      <w:pPr>
        <w:spacing w:after="0"/>
        <w:jc w:val="center"/>
        <w:rPr>
          <w:b/>
          <w:sz w:val="32"/>
          <w:szCs w:val="32"/>
        </w:rPr>
      </w:pPr>
      <w:r>
        <w:rPr>
          <w:rFonts w:ascii="Times New Roman" w:hAnsi="Times New Roman"/>
          <w:b/>
          <w:sz w:val="32"/>
          <w:szCs w:val="32"/>
        </w:rPr>
        <w:t xml:space="preserve">   </w:t>
      </w:r>
      <w:r w:rsidRPr="00FC4B2C">
        <w:rPr>
          <w:rFonts w:ascii="Times New Roman" w:hAnsi="Times New Roman"/>
          <w:b/>
          <w:sz w:val="32"/>
          <w:szCs w:val="32"/>
        </w:rPr>
        <w:t>РЕШЕНИЕ</w:t>
      </w:r>
    </w:p>
    <w:p w:rsidR="00EC1104" w:rsidRDefault="00EC1104" w:rsidP="00627015">
      <w:pPr>
        <w:spacing w:after="0" w:line="240" w:lineRule="auto"/>
        <w:jc w:val="center"/>
        <w:rPr>
          <w:rFonts w:ascii="Times New Roman" w:hAnsi="Times New Roman"/>
          <w:b/>
          <w:color w:val="000000"/>
          <w:sz w:val="28"/>
          <w:szCs w:val="28"/>
        </w:rPr>
      </w:pPr>
    </w:p>
    <w:p w:rsidR="00EC1104" w:rsidRDefault="00EC1104" w:rsidP="0062701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от 31 марта 2016 года                                                                                       № 113</w:t>
      </w:r>
    </w:p>
    <w:p w:rsidR="00EC1104" w:rsidRDefault="00EC1104" w:rsidP="00627015">
      <w:pPr>
        <w:spacing w:after="0" w:line="240" w:lineRule="auto"/>
        <w:jc w:val="both"/>
        <w:rPr>
          <w:rFonts w:ascii="Times New Roman" w:hAnsi="Times New Roman"/>
          <w:b/>
          <w:color w:val="000000"/>
          <w:sz w:val="28"/>
          <w:szCs w:val="28"/>
        </w:rPr>
      </w:pPr>
    </w:p>
    <w:p w:rsidR="00EC1104" w:rsidRPr="00627015" w:rsidRDefault="00EC1104" w:rsidP="00627015">
      <w:pPr>
        <w:spacing w:after="0" w:line="240" w:lineRule="auto"/>
        <w:jc w:val="center"/>
        <w:rPr>
          <w:rFonts w:ascii="Times New Roman" w:hAnsi="Times New Roman"/>
          <w:b/>
          <w:sz w:val="28"/>
          <w:szCs w:val="28"/>
        </w:rPr>
      </w:pPr>
      <w:r w:rsidRPr="00627015">
        <w:rPr>
          <w:rFonts w:ascii="Times New Roman" w:hAnsi="Times New Roman"/>
          <w:b/>
          <w:sz w:val="28"/>
          <w:szCs w:val="28"/>
        </w:rPr>
        <w:t xml:space="preserve">О результатах хозяйственной деятельности унитарного </w:t>
      </w:r>
    </w:p>
    <w:p w:rsidR="00EC1104" w:rsidRDefault="00EC1104" w:rsidP="00627015">
      <w:pPr>
        <w:spacing w:after="0" w:line="240" w:lineRule="auto"/>
        <w:jc w:val="center"/>
        <w:rPr>
          <w:rFonts w:ascii="Times New Roman" w:hAnsi="Times New Roman"/>
          <w:b/>
          <w:sz w:val="28"/>
          <w:szCs w:val="28"/>
        </w:rPr>
      </w:pPr>
      <w:r w:rsidRPr="00627015">
        <w:rPr>
          <w:rFonts w:ascii="Times New Roman" w:hAnsi="Times New Roman"/>
          <w:b/>
          <w:sz w:val="28"/>
          <w:szCs w:val="28"/>
        </w:rPr>
        <w:t>предприятия «Радужныйтеплосеть» в 2015 году</w:t>
      </w:r>
    </w:p>
    <w:p w:rsidR="00EC1104" w:rsidRDefault="00EC1104" w:rsidP="00627015">
      <w:pPr>
        <w:spacing w:after="0" w:line="240" w:lineRule="auto"/>
        <w:jc w:val="center"/>
        <w:rPr>
          <w:rFonts w:ascii="Times New Roman" w:hAnsi="Times New Roman"/>
          <w:b/>
          <w:sz w:val="28"/>
          <w:szCs w:val="28"/>
        </w:rPr>
      </w:pPr>
    </w:p>
    <w:p w:rsidR="00EC1104" w:rsidRDefault="00EC1104" w:rsidP="00627015">
      <w:pPr>
        <w:spacing w:after="0" w:line="240" w:lineRule="auto"/>
        <w:jc w:val="both"/>
        <w:rPr>
          <w:rFonts w:ascii="Times New Roman" w:hAnsi="Times New Roman"/>
          <w:b/>
          <w:sz w:val="28"/>
          <w:szCs w:val="28"/>
        </w:rPr>
      </w:pPr>
      <w:r>
        <w:rPr>
          <w:rFonts w:ascii="Times New Roman" w:hAnsi="Times New Roman"/>
          <w:b/>
          <w:sz w:val="28"/>
          <w:szCs w:val="28"/>
        </w:rPr>
        <w:tab/>
      </w:r>
      <w:r w:rsidRPr="00627015">
        <w:rPr>
          <w:rFonts w:ascii="Times New Roman" w:hAnsi="Times New Roman"/>
          <w:sz w:val="28"/>
          <w:szCs w:val="28"/>
        </w:rPr>
        <w:t>Заслушав и обсудив информацию о результатах хозяйственной деятельности унитарного предприятия «Радужныйтеплосеть» в 2015 году</w:t>
      </w:r>
      <w:r>
        <w:rPr>
          <w:rFonts w:ascii="Times New Roman" w:hAnsi="Times New Roman"/>
          <w:sz w:val="28"/>
          <w:szCs w:val="28"/>
        </w:rPr>
        <w:t xml:space="preserve">, Дума города </w:t>
      </w:r>
      <w:r w:rsidRPr="00627015">
        <w:rPr>
          <w:rFonts w:ascii="Times New Roman" w:hAnsi="Times New Roman"/>
          <w:b/>
          <w:sz w:val="28"/>
          <w:szCs w:val="28"/>
        </w:rPr>
        <w:t>решила:</w:t>
      </w:r>
    </w:p>
    <w:p w:rsidR="00EC1104" w:rsidRDefault="00EC1104" w:rsidP="00627015">
      <w:pPr>
        <w:spacing w:after="0" w:line="240" w:lineRule="auto"/>
        <w:jc w:val="both"/>
        <w:rPr>
          <w:rFonts w:ascii="Times New Roman" w:hAnsi="Times New Roman"/>
          <w:b/>
          <w:sz w:val="28"/>
          <w:szCs w:val="28"/>
        </w:rPr>
      </w:pPr>
    </w:p>
    <w:p w:rsidR="00EC1104" w:rsidRPr="00627015" w:rsidRDefault="00EC1104" w:rsidP="00627015">
      <w:pPr>
        <w:spacing w:after="0" w:line="240" w:lineRule="auto"/>
        <w:jc w:val="both"/>
        <w:rPr>
          <w:rFonts w:ascii="Times New Roman" w:hAnsi="Times New Roman"/>
          <w:sz w:val="28"/>
          <w:szCs w:val="28"/>
        </w:rPr>
      </w:pPr>
      <w:r>
        <w:rPr>
          <w:rFonts w:ascii="Times New Roman" w:hAnsi="Times New Roman"/>
          <w:b/>
          <w:sz w:val="28"/>
          <w:szCs w:val="28"/>
        </w:rPr>
        <w:tab/>
      </w:r>
      <w:r w:rsidRPr="00627015">
        <w:rPr>
          <w:rFonts w:ascii="Times New Roman" w:hAnsi="Times New Roman"/>
          <w:sz w:val="28"/>
          <w:szCs w:val="28"/>
        </w:rPr>
        <w:t>Информацию о результатах хозяйственной деятельности унитарного предприятия «Радужныйтеплосеть» в 2015 году</w:t>
      </w:r>
      <w:r>
        <w:rPr>
          <w:rFonts w:ascii="Times New Roman" w:hAnsi="Times New Roman"/>
          <w:sz w:val="28"/>
          <w:szCs w:val="28"/>
        </w:rPr>
        <w:t xml:space="preserve"> принять к сведению (Приложение).</w:t>
      </w:r>
    </w:p>
    <w:p w:rsidR="00EC1104" w:rsidRDefault="00EC1104" w:rsidP="00627015">
      <w:pPr>
        <w:spacing w:after="0" w:line="240" w:lineRule="auto"/>
        <w:jc w:val="both"/>
        <w:rPr>
          <w:rFonts w:ascii="Times New Roman" w:hAnsi="Times New Roman"/>
          <w:sz w:val="28"/>
          <w:szCs w:val="28"/>
        </w:rPr>
      </w:pPr>
    </w:p>
    <w:p w:rsidR="00EC1104" w:rsidRDefault="00EC1104" w:rsidP="00627015">
      <w:pPr>
        <w:spacing w:after="0" w:line="240" w:lineRule="auto"/>
        <w:jc w:val="both"/>
        <w:rPr>
          <w:rFonts w:ascii="Times New Roman" w:hAnsi="Times New Roman"/>
          <w:sz w:val="28"/>
          <w:szCs w:val="28"/>
        </w:rPr>
      </w:pPr>
    </w:p>
    <w:p w:rsidR="00EC1104" w:rsidRPr="00627015" w:rsidRDefault="00EC1104" w:rsidP="00627015">
      <w:pPr>
        <w:spacing w:after="0" w:line="240" w:lineRule="auto"/>
        <w:jc w:val="both"/>
        <w:rPr>
          <w:rFonts w:ascii="Times New Roman" w:hAnsi="Times New Roman"/>
          <w:sz w:val="28"/>
          <w:szCs w:val="28"/>
        </w:rPr>
      </w:pPr>
    </w:p>
    <w:p w:rsidR="00EC1104" w:rsidRPr="00627015" w:rsidRDefault="00EC1104" w:rsidP="0062701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Председатель Думы города                                                                Г.П. Борщёв</w:t>
      </w:r>
    </w:p>
    <w:p w:rsidR="00EC1104" w:rsidRDefault="00EC1104" w:rsidP="00627015">
      <w:pPr>
        <w:spacing w:after="0" w:line="240" w:lineRule="auto"/>
        <w:jc w:val="center"/>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Default="00EC1104" w:rsidP="00D704B6">
      <w:pPr>
        <w:spacing w:after="0" w:line="240" w:lineRule="auto"/>
        <w:jc w:val="right"/>
        <w:rPr>
          <w:rFonts w:ascii="Times New Roman" w:hAnsi="Times New Roman"/>
          <w:b/>
          <w:color w:val="000000"/>
          <w:sz w:val="21"/>
        </w:rPr>
      </w:pPr>
    </w:p>
    <w:p w:rsidR="00EC1104" w:rsidRPr="00627015" w:rsidRDefault="00EC1104" w:rsidP="00D704B6">
      <w:pPr>
        <w:spacing w:after="0" w:line="240" w:lineRule="auto"/>
        <w:jc w:val="right"/>
        <w:rPr>
          <w:rFonts w:ascii="Times New Roman" w:hAnsi="Times New Roman"/>
          <w:color w:val="000000"/>
          <w:sz w:val="28"/>
          <w:szCs w:val="28"/>
        </w:rPr>
      </w:pPr>
      <w:r w:rsidRPr="00627015">
        <w:rPr>
          <w:rFonts w:ascii="Times New Roman" w:hAnsi="Times New Roman"/>
          <w:b/>
          <w:color w:val="000000"/>
          <w:sz w:val="28"/>
          <w:szCs w:val="28"/>
        </w:rPr>
        <w:t xml:space="preserve">     </w:t>
      </w:r>
      <w:r w:rsidRPr="00627015">
        <w:rPr>
          <w:rFonts w:ascii="Times New Roman" w:hAnsi="Times New Roman"/>
          <w:color w:val="000000"/>
          <w:sz w:val="28"/>
          <w:szCs w:val="28"/>
        </w:rPr>
        <w:t xml:space="preserve">Приложение </w:t>
      </w:r>
    </w:p>
    <w:p w:rsidR="00EC1104" w:rsidRPr="00627015" w:rsidRDefault="00EC1104" w:rsidP="00D704B6">
      <w:pPr>
        <w:spacing w:after="0" w:line="240" w:lineRule="auto"/>
        <w:jc w:val="right"/>
        <w:rPr>
          <w:rFonts w:ascii="Times New Roman" w:hAnsi="Times New Roman"/>
          <w:color w:val="000000"/>
          <w:sz w:val="28"/>
          <w:szCs w:val="28"/>
        </w:rPr>
      </w:pPr>
      <w:r w:rsidRPr="00627015">
        <w:rPr>
          <w:rFonts w:ascii="Times New Roman" w:hAnsi="Times New Roman"/>
          <w:color w:val="000000"/>
          <w:sz w:val="28"/>
          <w:szCs w:val="28"/>
        </w:rPr>
        <w:t xml:space="preserve">к решению Думы города </w:t>
      </w:r>
    </w:p>
    <w:p w:rsidR="00EC1104" w:rsidRDefault="00EC1104" w:rsidP="00FC4B2C">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от 31.03.2016 № 113</w:t>
      </w:r>
    </w:p>
    <w:p w:rsidR="00EC1104" w:rsidRPr="00627015" w:rsidRDefault="00EC1104" w:rsidP="00FC4B2C">
      <w:pPr>
        <w:spacing w:after="0" w:line="240" w:lineRule="auto"/>
        <w:jc w:val="right"/>
        <w:rPr>
          <w:rFonts w:ascii="Times New Roman" w:hAnsi="Times New Roman"/>
          <w:color w:val="000000"/>
          <w:sz w:val="28"/>
          <w:szCs w:val="28"/>
        </w:rPr>
      </w:pPr>
    </w:p>
    <w:p w:rsidR="00EC1104" w:rsidRPr="00627015" w:rsidRDefault="00EC1104" w:rsidP="00627015">
      <w:pPr>
        <w:spacing w:after="0" w:line="240" w:lineRule="auto"/>
        <w:jc w:val="center"/>
        <w:rPr>
          <w:rFonts w:ascii="Times New Roman" w:hAnsi="Times New Roman"/>
          <w:b/>
          <w:sz w:val="28"/>
          <w:szCs w:val="28"/>
        </w:rPr>
      </w:pPr>
      <w:r w:rsidRPr="00627015">
        <w:rPr>
          <w:rFonts w:ascii="Times New Roman" w:hAnsi="Times New Roman"/>
          <w:b/>
          <w:sz w:val="28"/>
          <w:szCs w:val="28"/>
        </w:rPr>
        <w:t>Информация</w:t>
      </w:r>
    </w:p>
    <w:p w:rsidR="00EC1104" w:rsidRDefault="00EC1104" w:rsidP="00627015">
      <w:pPr>
        <w:spacing w:after="0" w:line="240" w:lineRule="auto"/>
        <w:jc w:val="center"/>
        <w:rPr>
          <w:rFonts w:ascii="Times New Roman" w:hAnsi="Times New Roman"/>
          <w:b/>
          <w:sz w:val="28"/>
          <w:szCs w:val="28"/>
        </w:rPr>
      </w:pPr>
      <w:r>
        <w:rPr>
          <w:rFonts w:ascii="Times New Roman" w:hAnsi="Times New Roman"/>
          <w:b/>
          <w:sz w:val="28"/>
          <w:szCs w:val="28"/>
        </w:rPr>
        <w:t>о</w:t>
      </w:r>
      <w:r w:rsidRPr="00627015">
        <w:rPr>
          <w:rFonts w:ascii="Times New Roman" w:hAnsi="Times New Roman"/>
          <w:b/>
          <w:sz w:val="28"/>
          <w:szCs w:val="28"/>
        </w:rPr>
        <w:t xml:space="preserve"> результатах хозяйственной деятельности унитарного </w:t>
      </w:r>
    </w:p>
    <w:p w:rsidR="00EC1104" w:rsidRDefault="00EC1104" w:rsidP="00627015">
      <w:pPr>
        <w:spacing w:after="0" w:line="240" w:lineRule="auto"/>
        <w:jc w:val="center"/>
        <w:rPr>
          <w:rFonts w:ascii="Times New Roman" w:hAnsi="Times New Roman"/>
          <w:b/>
          <w:sz w:val="28"/>
          <w:szCs w:val="28"/>
        </w:rPr>
      </w:pPr>
      <w:r w:rsidRPr="00627015">
        <w:rPr>
          <w:rFonts w:ascii="Times New Roman" w:hAnsi="Times New Roman"/>
          <w:b/>
          <w:sz w:val="28"/>
          <w:szCs w:val="28"/>
        </w:rPr>
        <w:t>предприятия «Радужныйтеплосеть» в 2015 году</w:t>
      </w:r>
    </w:p>
    <w:p w:rsidR="00EC1104" w:rsidRPr="00627015" w:rsidRDefault="00EC1104" w:rsidP="00627015">
      <w:pPr>
        <w:spacing w:after="0" w:line="240" w:lineRule="auto"/>
        <w:jc w:val="center"/>
        <w:rPr>
          <w:rFonts w:ascii="Times New Roman" w:hAnsi="Times New Roman"/>
          <w:b/>
          <w:sz w:val="28"/>
          <w:szCs w:val="28"/>
        </w:rPr>
      </w:pPr>
    </w:p>
    <w:p w:rsidR="00EC1104" w:rsidRPr="00627015" w:rsidRDefault="00EC1104" w:rsidP="00627015">
      <w:pPr>
        <w:spacing w:line="240" w:lineRule="auto"/>
        <w:ind w:right="236" w:firstLine="550"/>
        <w:jc w:val="both"/>
        <w:rPr>
          <w:rFonts w:ascii="Times New Roman" w:hAnsi="Times New Roman"/>
          <w:b/>
          <w:sz w:val="28"/>
          <w:szCs w:val="28"/>
        </w:rPr>
      </w:pPr>
      <w:r>
        <w:rPr>
          <w:rFonts w:ascii="Times New Roman" w:hAnsi="Times New Roman"/>
          <w:b/>
          <w:sz w:val="28"/>
          <w:szCs w:val="28"/>
        </w:rPr>
        <w:tab/>
      </w:r>
      <w:r w:rsidRPr="00627015">
        <w:rPr>
          <w:rFonts w:ascii="Times New Roman" w:hAnsi="Times New Roman"/>
          <w:b/>
          <w:sz w:val="28"/>
          <w:szCs w:val="28"/>
        </w:rPr>
        <w:t>Характеристика предприятия</w:t>
      </w:r>
    </w:p>
    <w:p w:rsidR="00EC1104" w:rsidRPr="00627015" w:rsidRDefault="00EC1104" w:rsidP="00627015">
      <w:pPr>
        <w:tabs>
          <w:tab w:val="left" w:pos="880"/>
        </w:tabs>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Основной деятельностью предприятия «Радужныйтеплосеть» является выработка, передача и распределение тепловой энергии в виде горячей воды, а также приготовление и подача потребителям горячего водоснабжения. Данные задачи реализуются путем эксплуатации четырех котельных, десяти тепловых пунктов, магистральных и внутриквартальных тепловых сетей, магистральных и распределительных газопроводов, котлового и теплообменного оборудования находящегося в предприятии на праве хозяйственного ведения и зарегистрированного в установленном законом порядке.</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Помимо основной деятельности предприятие осуществляет деятельность по установке, ремонту и эксплуатации узлов учета тепловой энергии и воды, деятельность по ремонту и эксплуатации систем отопления жилых и производственных помещений, транспортные услуги и строительные работы по строительству тепловых сетей и сетей водоснабжения.</w:t>
      </w:r>
    </w:p>
    <w:p w:rsidR="00EC1104"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Штатная численность работников предприятия в 2015 году составляла 307 человек. Из них рабочих – 200 человек. Линейного персонала ИТР – 50 человек, аппарат управления – 30 человек. В 2015 году на предприятии было уволено 56 человек, принято 50 человек. Сокращений персонала в 2015 году не проводилось.</w:t>
      </w:r>
    </w:p>
    <w:p w:rsidR="00EC1104" w:rsidRPr="00627015" w:rsidRDefault="00EC1104" w:rsidP="00627015">
      <w:pPr>
        <w:spacing w:after="0" w:line="240" w:lineRule="auto"/>
        <w:ind w:right="238" w:firstLine="550"/>
        <w:jc w:val="both"/>
        <w:rPr>
          <w:rFonts w:ascii="Times New Roman" w:hAnsi="Times New Roman"/>
          <w:sz w:val="28"/>
          <w:szCs w:val="28"/>
        </w:rPr>
      </w:pPr>
    </w:p>
    <w:p w:rsidR="00EC1104" w:rsidRPr="00627015" w:rsidRDefault="00EC1104" w:rsidP="00627015">
      <w:pPr>
        <w:spacing w:line="240" w:lineRule="auto"/>
        <w:ind w:right="236" w:firstLine="550"/>
        <w:jc w:val="both"/>
        <w:rPr>
          <w:rFonts w:ascii="Times New Roman" w:hAnsi="Times New Roman"/>
          <w:b/>
          <w:sz w:val="28"/>
          <w:szCs w:val="28"/>
        </w:rPr>
      </w:pPr>
      <w:r>
        <w:rPr>
          <w:rFonts w:ascii="Times New Roman" w:hAnsi="Times New Roman"/>
          <w:b/>
          <w:sz w:val="28"/>
          <w:szCs w:val="28"/>
        </w:rPr>
        <w:tab/>
      </w:r>
      <w:r w:rsidRPr="00627015">
        <w:rPr>
          <w:rFonts w:ascii="Times New Roman" w:hAnsi="Times New Roman"/>
          <w:b/>
          <w:sz w:val="28"/>
          <w:szCs w:val="28"/>
        </w:rPr>
        <w:t>Основные показатели</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Планом выработки и полезного отпуска тепловой энергии и горячего водоснабжения на 2015 год согласно приказа Региональной службы тарифообразования установлен объем  выработки тепловой энергии 408959 Гкал.</w:t>
      </w:r>
    </w:p>
    <w:p w:rsidR="00EC1104" w:rsidRPr="00627015" w:rsidRDefault="00EC1104" w:rsidP="00627015">
      <w:pPr>
        <w:spacing w:after="0" w:line="240" w:lineRule="auto"/>
        <w:ind w:right="238" w:firstLine="550"/>
        <w:jc w:val="both"/>
        <w:rPr>
          <w:rFonts w:ascii="Times New Roman" w:hAnsi="Times New Roman"/>
          <w:sz w:val="28"/>
          <w:szCs w:val="28"/>
        </w:rPr>
      </w:pPr>
      <w:r w:rsidRPr="00627015">
        <w:rPr>
          <w:rFonts w:ascii="Times New Roman" w:hAnsi="Times New Roman"/>
          <w:sz w:val="28"/>
          <w:szCs w:val="28"/>
        </w:rPr>
        <w:t xml:space="preserve"> </w:t>
      </w:r>
      <w:r>
        <w:rPr>
          <w:rFonts w:ascii="Times New Roman" w:hAnsi="Times New Roman"/>
          <w:sz w:val="28"/>
          <w:szCs w:val="28"/>
        </w:rPr>
        <w:tab/>
      </w:r>
      <w:r w:rsidRPr="00627015">
        <w:rPr>
          <w:rFonts w:ascii="Times New Roman" w:hAnsi="Times New Roman"/>
          <w:sz w:val="28"/>
          <w:szCs w:val="28"/>
        </w:rPr>
        <w:t>По факту – 484193 Гкал. Учитывая  собственные нужды предприятия – 4189 Гкал и допустимые потери в тепловых сетях теплоснабжения- 48722 Гкал, технологические потери тепловой энергии составили 91770 Гкал. Технологические потери</w:t>
      </w:r>
      <w:r>
        <w:rPr>
          <w:rFonts w:ascii="Times New Roman" w:hAnsi="Times New Roman"/>
          <w:sz w:val="28"/>
          <w:szCs w:val="28"/>
        </w:rPr>
        <w:t xml:space="preserve"> тепловой энергии это следствие</w:t>
      </w:r>
      <w:r w:rsidRPr="00627015">
        <w:rPr>
          <w:rFonts w:ascii="Times New Roman" w:hAnsi="Times New Roman"/>
          <w:sz w:val="28"/>
          <w:szCs w:val="28"/>
        </w:rPr>
        <w:t>:</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1.</w:t>
      </w:r>
      <w:r>
        <w:rPr>
          <w:rFonts w:ascii="Times New Roman" w:hAnsi="Times New Roman"/>
          <w:sz w:val="28"/>
          <w:szCs w:val="28"/>
        </w:rPr>
        <w:t xml:space="preserve"> </w:t>
      </w:r>
      <w:r w:rsidRPr="00627015">
        <w:rPr>
          <w:rFonts w:ascii="Times New Roman" w:hAnsi="Times New Roman"/>
          <w:sz w:val="28"/>
          <w:szCs w:val="28"/>
        </w:rPr>
        <w:t>Отсутствие системы централизованного горячего водоснабжения в мкр. Южный и использование теплоносителя в качестве горячей воды.</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2.</w:t>
      </w:r>
      <w:r>
        <w:rPr>
          <w:rFonts w:ascii="Times New Roman" w:hAnsi="Times New Roman"/>
          <w:sz w:val="28"/>
          <w:szCs w:val="28"/>
        </w:rPr>
        <w:t xml:space="preserve"> </w:t>
      </w:r>
      <w:r w:rsidRPr="00627015">
        <w:rPr>
          <w:rFonts w:ascii="Times New Roman" w:hAnsi="Times New Roman"/>
          <w:sz w:val="28"/>
          <w:szCs w:val="28"/>
        </w:rPr>
        <w:t>Использование обратного трубопровода теплосетей в качестве тепло спутника холодного водоснабжения в мкр. Южном,22-м микрорайоне и в СУ-968.Вследствие этого тепловые потери в этих сетях в 5-8 раз превышают нормативные.</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3.</w:t>
      </w:r>
      <w:r>
        <w:rPr>
          <w:rFonts w:ascii="Times New Roman" w:hAnsi="Times New Roman"/>
          <w:sz w:val="28"/>
          <w:szCs w:val="28"/>
        </w:rPr>
        <w:t xml:space="preserve"> </w:t>
      </w:r>
      <w:r w:rsidRPr="00627015">
        <w:rPr>
          <w:rFonts w:ascii="Times New Roman" w:hAnsi="Times New Roman"/>
          <w:sz w:val="28"/>
          <w:szCs w:val="28"/>
        </w:rPr>
        <w:t>Несоответствие прописки (регистрации) жителей с их фактическим местом проживания. Вследствие этого начисление оплаты за горячее водоснабжение производится по квартирам с установленными в них приборами учета. А фактическое проживание потребителей и соответственно потребление воды происходит по квартирам с нормативным начислением.</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4.</w:t>
      </w:r>
      <w:r>
        <w:rPr>
          <w:rFonts w:ascii="Times New Roman" w:hAnsi="Times New Roman"/>
          <w:sz w:val="28"/>
          <w:szCs w:val="28"/>
        </w:rPr>
        <w:t xml:space="preserve"> </w:t>
      </w:r>
      <w:r w:rsidRPr="00627015">
        <w:rPr>
          <w:rFonts w:ascii="Times New Roman" w:hAnsi="Times New Roman"/>
          <w:sz w:val="28"/>
          <w:szCs w:val="28"/>
        </w:rPr>
        <w:t>Отсутствие учета в тарифе горячего водоснабжения тепловых потерь в сетях горячего водоснабжения. Так как сети ГВС находятся в хозведении в УП «ГВК» а тариф на ГВС в УП «РТС». Служба  РСТ отказалась учитывать эти потери ни в ГВК ни у РТС.</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План полезного отпуска тепловой энергии – 361 006 Гкал. и соответственно запланированная выручка  358898  тыс.руб.</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Однако по итогам года наблюдается невыполнение плана по полезному отпуску  в натуральных величинах в размере 21495 Гкал и соответственно в финансовом выражении 21488 тыс. руб.</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Основными причинами невыполнения плана полезного отпуска является:</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1.</w:t>
      </w:r>
      <w:r>
        <w:rPr>
          <w:rFonts w:ascii="Times New Roman" w:hAnsi="Times New Roman"/>
          <w:sz w:val="28"/>
          <w:szCs w:val="28"/>
        </w:rPr>
        <w:t xml:space="preserve"> </w:t>
      </w:r>
      <w:r w:rsidRPr="00627015">
        <w:rPr>
          <w:rFonts w:ascii="Times New Roman" w:hAnsi="Times New Roman"/>
          <w:sz w:val="28"/>
          <w:szCs w:val="28"/>
        </w:rPr>
        <w:t>Аномально теплая погода в отопительный период 2015-2016 года;</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2.</w:t>
      </w:r>
      <w:r>
        <w:rPr>
          <w:rFonts w:ascii="Times New Roman" w:hAnsi="Times New Roman"/>
          <w:sz w:val="28"/>
          <w:szCs w:val="28"/>
        </w:rPr>
        <w:t xml:space="preserve"> </w:t>
      </w:r>
      <w:r w:rsidRPr="00627015">
        <w:rPr>
          <w:rFonts w:ascii="Times New Roman" w:hAnsi="Times New Roman"/>
          <w:sz w:val="28"/>
          <w:szCs w:val="28"/>
        </w:rPr>
        <w:t>Снижение объема реализации тепловой энергии потребителям вследствие оборудования объектов теплоснабжения и горячего водоснабжения приборами учета.</w:t>
      </w:r>
    </w:p>
    <w:p w:rsidR="00EC1104"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3.</w:t>
      </w:r>
      <w:r>
        <w:rPr>
          <w:rFonts w:ascii="Times New Roman" w:hAnsi="Times New Roman"/>
          <w:sz w:val="28"/>
          <w:szCs w:val="28"/>
        </w:rPr>
        <w:t xml:space="preserve"> </w:t>
      </w:r>
      <w:r w:rsidRPr="00627015">
        <w:rPr>
          <w:rFonts w:ascii="Times New Roman" w:hAnsi="Times New Roman"/>
          <w:sz w:val="28"/>
          <w:szCs w:val="28"/>
        </w:rPr>
        <w:t>Занижение полезного отпуска вследствие применения понижающего коэффициента к нормативу по отоплению для жилых и нежилых помещений в многоквартирных домах после 1999 года постройки во исполнение приказа Департамента жилищного –коммунального комплекса и Энергетики Ханты-Мансийского автономного округа – Югры «О внесении изменений в приказ Департамента жилищного –коммунального комплекса и Энергетики Ханты-Мансийского округа – Югры от 21 июля 2014 года № 36-нп «Об утверждении понижающих коэффициентов к нормативам потребления коммунальных услуг» от 27 июля 2015 года № 20-нп.</w:t>
      </w:r>
    </w:p>
    <w:p w:rsidR="00EC1104" w:rsidRPr="00627015" w:rsidRDefault="00EC1104" w:rsidP="00627015">
      <w:pPr>
        <w:spacing w:after="0" w:line="240" w:lineRule="auto"/>
        <w:ind w:right="238" w:firstLine="550"/>
        <w:jc w:val="both"/>
        <w:rPr>
          <w:rFonts w:ascii="Times New Roman" w:hAnsi="Times New Roman"/>
          <w:sz w:val="28"/>
          <w:szCs w:val="28"/>
        </w:rPr>
      </w:pPr>
    </w:p>
    <w:p w:rsidR="00EC1104" w:rsidRPr="00627015" w:rsidRDefault="00EC1104" w:rsidP="00627015">
      <w:pPr>
        <w:spacing w:line="240" w:lineRule="auto"/>
        <w:ind w:right="236" w:firstLine="550"/>
        <w:jc w:val="both"/>
        <w:rPr>
          <w:rFonts w:ascii="Times New Roman" w:hAnsi="Times New Roman"/>
          <w:b/>
          <w:sz w:val="28"/>
          <w:szCs w:val="28"/>
        </w:rPr>
      </w:pPr>
      <w:r>
        <w:rPr>
          <w:rFonts w:ascii="Times New Roman" w:hAnsi="Times New Roman"/>
          <w:b/>
          <w:sz w:val="28"/>
          <w:szCs w:val="28"/>
        </w:rPr>
        <w:tab/>
      </w:r>
      <w:r w:rsidRPr="00627015">
        <w:rPr>
          <w:rFonts w:ascii="Times New Roman" w:hAnsi="Times New Roman"/>
          <w:b/>
          <w:sz w:val="28"/>
          <w:szCs w:val="28"/>
        </w:rPr>
        <w:t>Электроэнергия:</w:t>
      </w:r>
    </w:p>
    <w:p w:rsidR="00EC1104" w:rsidRPr="00627015" w:rsidRDefault="00EC1104" w:rsidP="00627015">
      <w:pPr>
        <w:pStyle w:val="ConsPlusNonformat"/>
        <w:widowControl/>
        <w:ind w:right="236" w:firstLine="550"/>
        <w:jc w:val="both"/>
        <w:rPr>
          <w:rFonts w:ascii="Times New Roman" w:hAnsi="Times New Roman" w:cs="Times New Roman"/>
          <w:sz w:val="28"/>
          <w:szCs w:val="28"/>
        </w:rPr>
      </w:pPr>
      <w:r>
        <w:rPr>
          <w:rFonts w:ascii="Times New Roman" w:hAnsi="Times New Roman" w:cs="Times New Roman"/>
          <w:sz w:val="28"/>
          <w:szCs w:val="28"/>
        </w:rPr>
        <w:tab/>
      </w:r>
      <w:r w:rsidRPr="00627015">
        <w:rPr>
          <w:rFonts w:ascii="Times New Roman" w:hAnsi="Times New Roman" w:cs="Times New Roman"/>
          <w:sz w:val="28"/>
          <w:szCs w:val="28"/>
        </w:rPr>
        <w:t xml:space="preserve">При формировании производственной программы на отопительный период 2015-2016 годы предприятием было заявлено к потреблению объемы по электроэнергии – 16,623 млн. Квт/ч по факту потребления предыдущего отопительного сезона или 65976,6 тыс.руб. без НДС с учетом цены – 3,97 руб./Квт. час,. Однако региональной службой по тарифам приняты 12,509 млн.кВтч или 47403,796 тыс.руб. без НДС с учетом цены – </w:t>
      </w:r>
      <w:r w:rsidRPr="00627015">
        <w:rPr>
          <w:rFonts w:ascii="Times New Roman" w:hAnsi="Times New Roman" w:cs="Times New Roman"/>
          <w:b/>
          <w:i/>
          <w:sz w:val="28"/>
          <w:szCs w:val="28"/>
        </w:rPr>
        <w:t>3,79 руб./Квт.час</w:t>
      </w:r>
      <w:r w:rsidRPr="00627015">
        <w:rPr>
          <w:rFonts w:ascii="Times New Roman" w:hAnsi="Times New Roman" w:cs="Times New Roman"/>
          <w:sz w:val="28"/>
          <w:szCs w:val="28"/>
        </w:rPr>
        <w:t xml:space="preserve">..  </w:t>
      </w:r>
    </w:p>
    <w:p w:rsidR="00EC1104" w:rsidRPr="00627015" w:rsidRDefault="00EC1104" w:rsidP="00627015">
      <w:pPr>
        <w:pStyle w:val="ConsPlusNonformat"/>
        <w:widowControl/>
        <w:ind w:right="236" w:firstLine="550"/>
        <w:jc w:val="both"/>
        <w:rPr>
          <w:rFonts w:ascii="Times New Roman" w:hAnsi="Times New Roman" w:cs="Times New Roman"/>
          <w:sz w:val="28"/>
          <w:szCs w:val="28"/>
        </w:rPr>
      </w:pPr>
      <w:r w:rsidRPr="00627015">
        <w:rPr>
          <w:rFonts w:ascii="Times New Roman" w:hAnsi="Times New Roman" w:cs="Times New Roman"/>
          <w:sz w:val="28"/>
          <w:szCs w:val="28"/>
        </w:rPr>
        <w:tab/>
        <w:t>В течение всего 2015 года предприятием проводилась работа по снижению потребления электроэнергии. В постоянном режиме ежедневно проводился мониторинг потребления электроэнергии, предпринимались меры по снижению ее потребления и оптимизации схем электроснабжения объектов. В связи, с чем потребление составило 12,772 млн. кВтч., что почти на уровне плановых значений. Перерасход электроэнергии всего 263,7 тыс. Квт. но в стоимостном выражении 3809,8 тыс.</w:t>
      </w:r>
      <w:r>
        <w:rPr>
          <w:rFonts w:ascii="Times New Roman" w:hAnsi="Times New Roman" w:cs="Times New Roman"/>
          <w:sz w:val="28"/>
          <w:szCs w:val="28"/>
        </w:rPr>
        <w:t xml:space="preserve"> </w:t>
      </w:r>
      <w:r w:rsidRPr="00627015">
        <w:rPr>
          <w:rFonts w:ascii="Times New Roman" w:hAnsi="Times New Roman" w:cs="Times New Roman"/>
          <w:sz w:val="28"/>
          <w:szCs w:val="28"/>
        </w:rPr>
        <w:t xml:space="preserve">руб.  </w:t>
      </w:r>
    </w:p>
    <w:p w:rsidR="00EC1104" w:rsidRDefault="00EC1104" w:rsidP="00627015">
      <w:pPr>
        <w:pStyle w:val="ConsPlusNonformat"/>
        <w:widowControl/>
        <w:ind w:right="236" w:firstLine="550"/>
        <w:jc w:val="both"/>
        <w:rPr>
          <w:rFonts w:ascii="Times New Roman" w:hAnsi="Times New Roman" w:cs="Times New Roman"/>
          <w:sz w:val="28"/>
          <w:szCs w:val="28"/>
        </w:rPr>
      </w:pPr>
    </w:p>
    <w:p w:rsidR="00EC1104" w:rsidRPr="00627015" w:rsidRDefault="00EC1104" w:rsidP="00627015">
      <w:pPr>
        <w:pStyle w:val="ConsPlusNonformat"/>
        <w:widowControl/>
        <w:ind w:right="236" w:firstLine="550"/>
        <w:jc w:val="both"/>
        <w:rPr>
          <w:rFonts w:ascii="Times New Roman" w:hAnsi="Times New Roman" w:cs="Times New Roman"/>
          <w:sz w:val="28"/>
          <w:szCs w:val="28"/>
        </w:rPr>
      </w:pPr>
      <w:r>
        <w:rPr>
          <w:rFonts w:ascii="Times New Roman" w:hAnsi="Times New Roman" w:cs="Times New Roman"/>
          <w:sz w:val="28"/>
          <w:szCs w:val="28"/>
        </w:rPr>
        <w:tab/>
      </w:r>
      <w:r w:rsidRPr="00627015">
        <w:rPr>
          <w:rFonts w:ascii="Times New Roman" w:hAnsi="Times New Roman" w:cs="Times New Roman"/>
          <w:sz w:val="28"/>
          <w:szCs w:val="28"/>
        </w:rPr>
        <w:t>Причинами перерасхода являются:</w:t>
      </w:r>
    </w:p>
    <w:p w:rsidR="00EC1104" w:rsidRPr="00627015" w:rsidRDefault="00EC1104" w:rsidP="00627015">
      <w:pPr>
        <w:pStyle w:val="ConsPlusNonformat"/>
        <w:widowControl/>
        <w:ind w:right="236" w:firstLine="550"/>
        <w:jc w:val="both"/>
        <w:rPr>
          <w:rFonts w:ascii="Times New Roman" w:hAnsi="Times New Roman" w:cs="Times New Roman"/>
          <w:sz w:val="28"/>
          <w:szCs w:val="28"/>
        </w:rPr>
      </w:pPr>
      <w:r>
        <w:rPr>
          <w:rFonts w:ascii="Times New Roman" w:hAnsi="Times New Roman" w:cs="Times New Roman"/>
          <w:sz w:val="28"/>
          <w:szCs w:val="28"/>
        </w:rPr>
        <w:tab/>
      </w:r>
      <w:r w:rsidRPr="00627015">
        <w:rPr>
          <w:rFonts w:ascii="Times New Roman" w:hAnsi="Times New Roman" w:cs="Times New Roman"/>
          <w:sz w:val="28"/>
          <w:szCs w:val="28"/>
        </w:rPr>
        <w:t xml:space="preserve">1.Стоимость 1 кВтч электроэнергии (фактическая среднегодовая цена </w:t>
      </w:r>
      <w:r w:rsidRPr="00627015">
        <w:rPr>
          <w:rFonts w:ascii="Times New Roman" w:hAnsi="Times New Roman" w:cs="Times New Roman"/>
          <w:i/>
          <w:sz w:val="28"/>
          <w:szCs w:val="28"/>
        </w:rPr>
        <w:t xml:space="preserve">– </w:t>
      </w:r>
      <w:r w:rsidRPr="00627015">
        <w:rPr>
          <w:rFonts w:ascii="Times New Roman" w:hAnsi="Times New Roman" w:cs="Times New Roman"/>
          <w:b/>
          <w:i/>
          <w:sz w:val="28"/>
          <w:szCs w:val="28"/>
        </w:rPr>
        <w:t>4,013</w:t>
      </w:r>
      <w:r w:rsidRPr="00627015">
        <w:rPr>
          <w:rFonts w:ascii="Times New Roman" w:hAnsi="Times New Roman" w:cs="Times New Roman"/>
          <w:i/>
          <w:sz w:val="28"/>
          <w:szCs w:val="28"/>
          <w:u w:val="single"/>
        </w:rPr>
        <w:t xml:space="preserve"> руб./Квт. час.</w:t>
      </w:r>
      <w:r w:rsidRPr="00627015">
        <w:rPr>
          <w:rFonts w:ascii="Times New Roman" w:hAnsi="Times New Roman" w:cs="Times New Roman"/>
          <w:sz w:val="28"/>
          <w:szCs w:val="28"/>
        </w:rPr>
        <w:t xml:space="preserve"> утвержденная же региональной службой по тарифам </w:t>
      </w:r>
      <w:r w:rsidRPr="00627015">
        <w:rPr>
          <w:rFonts w:ascii="Times New Roman" w:hAnsi="Times New Roman" w:cs="Times New Roman"/>
          <w:b/>
          <w:i/>
          <w:sz w:val="28"/>
          <w:szCs w:val="28"/>
        </w:rPr>
        <w:t>3,79 руб./Квт. час</w:t>
      </w:r>
      <w:r w:rsidRPr="00627015">
        <w:rPr>
          <w:rFonts w:ascii="Times New Roman" w:hAnsi="Times New Roman" w:cs="Times New Roman"/>
          <w:sz w:val="28"/>
          <w:szCs w:val="28"/>
        </w:rPr>
        <w:t xml:space="preserve">.) Образовавшаяся разница в 22,3 коп. даёт перерасход </w:t>
      </w:r>
      <w:r w:rsidRPr="00627015">
        <w:rPr>
          <w:rFonts w:ascii="Times New Roman" w:hAnsi="Times New Roman" w:cs="Times New Roman"/>
          <w:b/>
          <w:sz w:val="28"/>
          <w:szCs w:val="28"/>
        </w:rPr>
        <w:t>2848,23</w:t>
      </w:r>
      <w:r w:rsidRPr="00627015">
        <w:rPr>
          <w:rFonts w:ascii="Times New Roman" w:hAnsi="Times New Roman" w:cs="Times New Roman"/>
          <w:sz w:val="28"/>
          <w:szCs w:val="28"/>
        </w:rPr>
        <w:t xml:space="preserve"> тыс. руб.</w:t>
      </w:r>
    </w:p>
    <w:p w:rsidR="00EC1104" w:rsidRPr="00627015" w:rsidRDefault="00EC1104" w:rsidP="00627015">
      <w:pPr>
        <w:pStyle w:val="ConsPlusNonformat"/>
        <w:widowControl/>
        <w:ind w:right="236" w:firstLine="550"/>
        <w:jc w:val="both"/>
        <w:rPr>
          <w:rFonts w:ascii="Times New Roman" w:hAnsi="Times New Roman" w:cs="Times New Roman"/>
          <w:sz w:val="28"/>
          <w:szCs w:val="28"/>
        </w:rPr>
      </w:pPr>
    </w:p>
    <w:p w:rsidR="00EC1104" w:rsidRPr="00627015" w:rsidRDefault="00EC1104" w:rsidP="00627015">
      <w:pPr>
        <w:pStyle w:val="ConsPlusNonformat"/>
        <w:widowControl/>
        <w:ind w:right="236" w:firstLine="550"/>
        <w:jc w:val="both"/>
        <w:rPr>
          <w:rFonts w:ascii="Times New Roman" w:hAnsi="Times New Roman" w:cs="Times New Roman"/>
          <w:sz w:val="28"/>
          <w:szCs w:val="28"/>
        </w:rPr>
      </w:pPr>
      <w:r>
        <w:rPr>
          <w:rFonts w:ascii="Times New Roman" w:hAnsi="Times New Roman" w:cs="Times New Roman"/>
          <w:sz w:val="28"/>
          <w:szCs w:val="28"/>
        </w:rPr>
        <w:tab/>
      </w:r>
      <w:r w:rsidRPr="00627015">
        <w:rPr>
          <w:rFonts w:ascii="Times New Roman" w:hAnsi="Times New Roman" w:cs="Times New Roman"/>
          <w:sz w:val="28"/>
          <w:szCs w:val="28"/>
        </w:rPr>
        <w:t>2.</w:t>
      </w:r>
      <w:r>
        <w:rPr>
          <w:rFonts w:ascii="Times New Roman" w:hAnsi="Times New Roman" w:cs="Times New Roman"/>
          <w:sz w:val="28"/>
          <w:szCs w:val="28"/>
        </w:rPr>
        <w:t xml:space="preserve"> </w:t>
      </w:r>
      <w:r w:rsidRPr="00627015">
        <w:rPr>
          <w:rFonts w:ascii="Times New Roman" w:hAnsi="Times New Roman" w:cs="Times New Roman"/>
          <w:sz w:val="28"/>
          <w:szCs w:val="28"/>
        </w:rPr>
        <w:t>Потребление электроэнергии насосным оборудованием, установленным в ЦТП УП «РТС» ,но участвующим в транспортировке холодного  водоснабжения. Это насосные установки повышения давления холодной воды. Затраты за потребленную электроэнергию Региональной службой по тарифам не могут быть включены в тариф на тепловую энергию и горячего водоснабжения. Так, потребление электроэнергии насосным оборудов</w:t>
      </w:r>
      <w:r>
        <w:rPr>
          <w:rFonts w:ascii="Times New Roman" w:hAnsi="Times New Roman" w:cs="Times New Roman"/>
          <w:sz w:val="28"/>
          <w:szCs w:val="28"/>
        </w:rPr>
        <w:t xml:space="preserve">анием ХВС за 2015 год составило </w:t>
      </w:r>
      <w:r w:rsidRPr="00627015">
        <w:rPr>
          <w:rFonts w:ascii="Times New Roman" w:hAnsi="Times New Roman" w:cs="Times New Roman"/>
          <w:sz w:val="28"/>
          <w:szCs w:val="28"/>
        </w:rPr>
        <w:t>666,24 тыс. Квт/час или в стоимостном выражении – более 2700,0 тыс. руб. без НДС. В течение пяти последних лет для исключения из расходной части данных затрат, предприятием  проводится работа по передаче данного оборудования или затрат по его эксплуатации по назначению. Данные насосные установки были  оснащены индивидуальными приборами учета электроэнергии. По ним ведется отдельный учет. Были направлены обращения в КУМИ по передаче данного оборудования в УП «ГВК», Предприятием был подготовлен проект договора с УП «Горводоканал» о возмещении затрат за фактически потребленную эл. энергию насосным оборудованием и  направлен в их адрес. По настоящее время данный договор не подписан и никаких действий в этом направлении не происходит.</w:t>
      </w:r>
    </w:p>
    <w:p w:rsidR="00EC1104" w:rsidRPr="00627015" w:rsidRDefault="00EC1104" w:rsidP="00627015">
      <w:pPr>
        <w:pStyle w:val="ConsPlusNonformat"/>
        <w:widowControl/>
        <w:ind w:right="236"/>
        <w:jc w:val="both"/>
        <w:rPr>
          <w:rFonts w:ascii="Times New Roman" w:hAnsi="Times New Roman" w:cs="Times New Roman"/>
          <w:sz w:val="28"/>
          <w:szCs w:val="28"/>
        </w:rPr>
      </w:pPr>
    </w:p>
    <w:p w:rsidR="00EC1104" w:rsidRPr="00627015" w:rsidRDefault="00EC1104" w:rsidP="00627015">
      <w:pPr>
        <w:pStyle w:val="ConsPlusNonformat"/>
        <w:widowControl/>
        <w:ind w:right="236" w:firstLine="550"/>
        <w:jc w:val="both"/>
        <w:rPr>
          <w:rFonts w:ascii="Times New Roman" w:hAnsi="Times New Roman" w:cs="Times New Roman"/>
          <w:b/>
          <w:sz w:val="28"/>
          <w:szCs w:val="28"/>
        </w:rPr>
      </w:pPr>
      <w:r>
        <w:rPr>
          <w:rFonts w:ascii="Times New Roman" w:hAnsi="Times New Roman" w:cs="Times New Roman"/>
          <w:b/>
          <w:sz w:val="28"/>
          <w:szCs w:val="28"/>
        </w:rPr>
        <w:tab/>
      </w:r>
      <w:r w:rsidRPr="00627015">
        <w:rPr>
          <w:rFonts w:ascii="Times New Roman" w:hAnsi="Times New Roman" w:cs="Times New Roman"/>
          <w:b/>
          <w:sz w:val="28"/>
          <w:szCs w:val="28"/>
        </w:rPr>
        <w:t xml:space="preserve">Нефтяной попутный газ. </w:t>
      </w:r>
    </w:p>
    <w:p w:rsidR="00EC1104" w:rsidRPr="00627015" w:rsidRDefault="00EC1104" w:rsidP="00627015">
      <w:pPr>
        <w:pStyle w:val="ConsPlusNonformat"/>
        <w:widowControl/>
        <w:ind w:right="236" w:firstLine="550"/>
        <w:jc w:val="both"/>
        <w:rPr>
          <w:rFonts w:ascii="Times New Roman" w:hAnsi="Times New Roman" w:cs="Times New Roman"/>
          <w:b/>
          <w:sz w:val="28"/>
          <w:szCs w:val="28"/>
        </w:rPr>
      </w:pPr>
    </w:p>
    <w:p w:rsidR="00EC1104" w:rsidRPr="00627015" w:rsidRDefault="00EC1104" w:rsidP="00627015">
      <w:pPr>
        <w:pStyle w:val="ConsPlusNonformat"/>
        <w:widowControl/>
        <w:ind w:right="236" w:firstLine="550"/>
        <w:jc w:val="both"/>
        <w:rPr>
          <w:rFonts w:ascii="Times New Roman" w:hAnsi="Times New Roman" w:cs="Times New Roman"/>
          <w:sz w:val="28"/>
          <w:szCs w:val="28"/>
        </w:rPr>
      </w:pPr>
      <w:r>
        <w:rPr>
          <w:rFonts w:ascii="Times New Roman" w:hAnsi="Times New Roman" w:cs="Times New Roman"/>
          <w:sz w:val="28"/>
          <w:szCs w:val="28"/>
        </w:rPr>
        <w:tab/>
      </w:r>
      <w:r w:rsidRPr="00627015">
        <w:rPr>
          <w:rFonts w:ascii="Times New Roman" w:hAnsi="Times New Roman" w:cs="Times New Roman"/>
          <w:sz w:val="28"/>
          <w:szCs w:val="28"/>
        </w:rPr>
        <w:t xml:space="preserve">Формирование количества нефтяного газа ,предъявляемого к заявке при формировании тарифа, происходит с учетом фактического объема потребленного в предыдущем отопительном сезоне. А также при расчетах его количества принимаются в учет режимные карты котлоагрегатов, разработанные спец. организацией, в которых указаны расходы газа при любых нагрузках котлов с учетом внешней температуры и подключенной к котельной тепловой нагрузке. На 2015 год предприятием при формировании тарифа был заявлен объем нефтяного газа в размере 52,69 млн.м3. Однако региональной службой по тарифам был принят объем в размере 40,74 млн.м3. Так как фактическое потребление  составило 52,544 млн. м3,перерасход газа составил </w:t>
      </w:r>
      <w:r w:rsidRPr="00627015">
        <w:rPr>
          <w:rFonts w:ascii="Times New Roman" w:hAnsi="Times New Roman" w:cs="Times New Roman"/>
          <w:b/>
          <w:sz w:val="28"/>
          <w:szCs w:val="28"/>
        </w:rPr>
        <w:t>,</w:t>
      </w:r>
      <w:r w:rsidRPr="00627015">
        <w:rPr>
          <w:rFonts w:ascii="Times New Roman" w:hAnsi="Times New Roman" w:cs="Times New Roman"/>
          <w:sz w:val="28"/>
          <w:szCs w:val="28"/>
        </w:rPr>
        <w:t xml:space="preserve">что привело к убытку в размере  6044,21 тыс.руб. без НДС. </w:t>
      </w:r>
    </w:p>
    <w:p w:rsidR="00EC1104" w:rsidRPr="00627015" w:rsidRDefault="00EC1104" w:rsidP="00627015">
      <w:pPr>
        <w:spacing w:line="240" w:lineRule="auto"/>
        <w:ind w:right="236" w:firstLine="550"/>
        <w:jc w:val="both"/>
        <w:rPr>
          <w:rFonts w:ascii="Times New Roman" w:hAnsi="Times New Roman"/>
          <w:sz w:val="28"/>
          <w:szCs w:val="28"/>
        </w:rPr>
      </w:pPr>
      <w:r w:rsidRPr="00627015">
        <w:rPr>
          <w:rFonts w:ascii="Times New Roman" w:hAnsi="Times New Roman"/>
          <w:sz w:val="28"/>
          <w:szCs w:val="28"/>
        </w:rPr>
        <w:t>Причины превышения фактических объемов потребления газа над плановыми выше сказаны: это и отсутствие системы централизованного горячего водоснабжения в мкр. Южный и использование теплоносителя в качестве горячей воды, это и использование обратного трубопровода теплосетей в качестве тепло спутника холодного водоснабжения в мкр. Южном,22-м микрорайоне и в СУ-968,это перерасход отпущенного количества горячей воды в микрорайоны города над нормативными и принятыми к учету, это и отсутствие учета в тарифе горячего водоснабжения тепловых потерь в сетях горячего водоснабжения.</w:t>
      </w:r>
    </w:p>
    <w:p w:rsidR="00EC1104" w:rsidRPr="00627015" w:rsidRDefault="00EC1104" w:rsidP="00627015">
      <w:pPr>
        <w:spacing w:line="240" w:lineRule="auto"/>
        <w:ind w:right="236" w:firstLine="550"/>
        <w:jc w:val="both"/>
        <w:rPr>
          <w:rFonts w:ascii="Times New Roman" w:hAnsi="Times New Roman"/>
          <w:b/>
          <w:sz w:val="28"/>
          <w:szCs w:val="28"/>
        </w:rPr>
      </w:pPr>
      <w:r>
        <w:rPr>
          <w:rFonts w:ascii="Times New Roman" w:hAnsi="Times New Roman"/>
          <w:b/>
          <w:sz w:val="28"/>
          <w:szCs w:val="28"/>
        </w:rPr>
        <w:tab/>
      </w:r>
      <w:r w:rsidRPr="00627015">
        <w:rPr>
          <w:rFonts w:ascii="Times New Roman" w:hAnsi="Times New Roman"/>
          <w:b/>
          <w:sz w:val="28"/>
          <w:szCs w:val="28"/>
        </w:rPr>
        <w:t>Водопотребление.</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Для уменьшения потерь в тепловых сетях предприятием ежегодно проводятся мероприятия по замене изношенных труб на трубы с тепловой изоляцией из пенополиуретана. Применение данных труб с тепловой изоляцией из пенополиуретана позволяет снизить тепловые потери на 50-70%. А также неизменно данные работы приводят к уменьшению порывов в тепловых сетях и как следствие снижение водопотребления на подпитку тепловых сетей.</w:t>
      </w:r>
    </w:p>
    <w:p w:rsidR="00EC1104" w:rsidRPr="00627015" w:rsidRDefault="00EC1104" w:rsidP="00627015">
      <w:pPr>
        <w:spacing w:after="0" w:line="240" w:lineRule="auto"/>
        <w:ind w:right="238" w:firstLine="550"/>
        <w:jc w:val="both"/>
        <w:rPr>
          <w:rFonts w:ascii="Times New Roman" w:hAnsi="Times New Roman"/>
          <w:sz w:val="28"/>
          <w:szCs w:val="28"/>
        </w:rPr>
      </w:pPr>
      <w:r w:rsidRPr="00627015">
        <w:rPr>
          <w:rFonts w:ascii="Times New Roman" w:hAnsi="Times New Roman"/>
          <w:sz w:val="28"/>
          <w:szCs w:val="28"/>
        </w:rPr>
        <w:t>Так в соответствие с утвержденным планом мероприятий по подготовке котельных, ЦТП и тепловых сетей к осенне-зимнему периоду на 2015-2016 год  была проведена плановая замена тепловых сетей общей протяженностью 4,776 км.</w:t>
      </w:r>
    </w:p>
    <w:p w:rsidR="00EC1104" w:rsidRDefault="00EC1104" w:rsidP="00627015">
      <w:pPr>
        <w:spacing w:after="0" w:line="240" w:lineRule="auto"/>
        <w:ind w:right="238" w:firstLine="550"/>
        <w:jc w:val="both"/>
        <w:rPr>
          <w:rFonts w:ascii="Times New Roman" w:hAnsi="Times New Roman"/>
          <w:sz w:val="28"/>
          <w:szCs w:val="28"/>
        </w:rPr>
      </w:pPr>
      <w:r w:rsidRPr="00627015">
        <w:rPr>
          <w:rFonts w:ascii="Times New Roman" w:hAnsi="Times New Roman"/>
          <w:sz w:val="28"/>
          <w:szCs w:val="28"/>
        </w:rPr>
        <w:t>Ежедневный мониторинг по работе тепловых сетей, учет порывов, утечек, преднамеренных сбросов теплоносителя – все это в комплексе привело к экономии водопотребления  на 136,48 тыс.м. куб. от плана. Суточный расход воды на подпитку сетей по городу не превышал 600 м. куб. сут., что значительно ниже даже проектных величин.</w:t>
      </w:r>
    </w:p>
    <w:p w:rsidR="00EC1104" w:rsidRPr="00627015" w:rsidRDefault="00EC1104" w:rsidP="00627015">
      <w:pPr>
        <w:spacing w:after="0" w:line="240" w:lineRule="auto"/>
        <w:ind w:right="238" w:firstLine="550"/>
        <w:jc w:val="both"/>
        <w:rPr>
          <w:rFonts w:ascii="Times New Roman" w:hAnsi="Times New Roman"/>
          <w:sz w:val="28"/>
          <w:szCs w:val="28"/>
        </w:rPr>
      </w:pPr>
    </w:p>
    <w:p w:rsidR="00EC1104" w:rsidRPr="00627015" w:rsidRDefault="00EC1104" w:rsidP="00627015">
      <w:pPr>
        <w:spacing w:line="240" w:lineRule="auto"/>
        <w:ind w:right="236" w:firstLine="550"/>
        <w:jc w:val="both"/>
        <w:rPr>
          <w:rFonts w:ascii="Times New Roman" w:hAnsi="Times New Roman"/>
          <w:sz w:val="28"/>
          <w:szCs w:val="28"/>
        </w:rPr>
      </w:pPr>
      <w:r>
        <w:rPr>
          <w:rFonts w:ascii="Times New Roman" w:hAnsi="Times New Roman"/>
          <w:b/>
          <w:sz w:val="28"/>
          <w:szCs w:val="28"/>
        </w:rPr>
        <w:tab/>
      </w:r>
      <w:r w:rsidRPr="00627015">
        <w:rPr>
          <w:rFonts w:ascii="Times New Roman" w:hAnsi="Times New Roman"/>
          <w:b/>
          <w:sz w:val="28"/>
          <w:szCs w:val="28"/>
        </w:rPr>
        <w:t>Финансовый результат</w:t>
      </w:r>
      <w:r w:rsidRPr="00627015">
        <w:rPr>
          <w:rFonts w:ascii="Times New Roman" w:hAnsi="Times New Roman"/>
          <w:sz w:val="28"/>
          <w:szCs w:val="28"/>
        </w:rPr>
        <w:t>.</w:t>
      </w:r>
    </w:p>
    <w:p w:rsidR="00EC1104"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Основополагающим показателем, влияющим на финансовый результат предприятия является выработка тепловой энергии и ее полезный отпуск. Невыполнение плана по товарному отпуску тепловой энергии в размере 21488 тыс. руб. в том числе  на подогрев холодной воды для целей горячего водоснабжения – 7739,98 Гкал. наряду с другими вышесказанными негативными факторами не могло не сказаться на финансовом результате предприятия и его отрицательном значении. В сфере теплоснабжения и горячего водоснабжения расчетный убыток составил более 22 млн.руб.В стоимостном выражении недополученный доход из-за невыполнения плана по теплоснабжению и горячему водоснабжению составил 26997,40 тыс.руб.</w:t>
      </w:r>
    </w:p>
    <w:p w:rsidR="00EC1104" w:rsidRPr="00627015" w:rsidRDefault="00EC1104" w:rsidP="00627015">
      <w:pPr>
        <w:spacing w:after="0" w:line="240" w:lineRule="auto"/>
        <w:ind w:right="238" w:firstLine="550"/>
        <w:jc w:val="both"/>
        <w:rPr>
          <w:rFonts w:ascii="Times New Roman" w:hAnsi="Times New Roman"/>
          <w:sz w:val="28"/>
          <w:szCs w:val="28"/>
        </w:rPr>
      </w:pPr>
      <w:r w:rsidRPr="00627015">
        <w:rPr>
          <w:rFonts w:ascii="Times New Roman" w:hAnsi="Times New Roman"/>
          <w:sz w:val="28"/>
          <w:szCs w:val="28"/>
        </w:rPr>
        <w:t>Но не только производственная деятельность является основой для формирования конечного баланса. Так, например: Согласно ФЗ № 261 «Об энергосбережении в РФ» ресурсоснабжающая организация обязана осуществлять деятельность по установке ремонту и эксплуатации приборов учета энергоресурсов. На предприятии  была создана Лаборатория Метрологии и КИП. Было приобретено оборудование, персонал прошел соответствующее обучение и аттестации. В 2013,2014 году все затраты на это подразделение были включены в стоимость тепловой энергии. При формировании тарифа на 2015 год  эти расходы не были приняты, и убыток по этому подразделению составил 3,2 млн. руб.</w:t>
      </w:r>
    </w:p>
    <w:p w:rsidR="00EC1104" w:rsidRPr="00627015" w:rsidRDefault="00EC1104" w:rsidP="00FC4B2C">
      <w:pPr>
        <w:tabs>
          <w:tab w:val="left" w:pos="880"/>
        </w:tabs>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К такому же отрицательному результату привела и деятельность по обслуживанию систем теплоснабжения промышленных и социальных объектов. Здесь убыток составил 3,4 млн. руб.</w:t>
      </w:r>
    </w:p>
    <w:p w:rsidR="00EC1104" w:rsidRPr="00627015" w:rsidRDefault="00EC1104" w:rsidP="00627015">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В 2016 году мы вынуждены пересмотреть планы по работе данных подразделений, провести оптимизацию численного состава что, несомненно, скажется на объеме выполняемых работ.</w:t>
      </w:r>
    </w:p>
    <w:p w:rsidR="00EC1104" w:rsidRDefault="00EC1104" w:rsidP="00FC4B2C">
      <w:pPr>
        <w:tabs>
          <w:tab w:val="left" w:pos="880"/>
        </w:tabs>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Согласно законодательству предприятие обязано формировать резерв отпусков работников. Такой резерв был сформирован в размере 11,5 млн. руб. что соответственно увеличило расходную часть баланса и увеличило убыток. Который до налогообложения составил в целом по предприятию 33,054 млн. руб.</w:t>
      </w:r>
    </w:p>
    <w:p w:rsidR="00EC1104" w:rsidRPr="00627015" w:rsidRDefault="00EC1104" w:rsidP="00627015">
      <w:pPr>
        <w:spacing w:after="0" w:line="240" w:lineRule="auto"/>
        <w:ind w:right="238" w:firstLine="550"/>
        <w:jc w:val="both"/>
        <w:rPr>
          <w:rFonts w:ascii="Times New Roman" w:hAnsi="Times New Roman"/>
          <w:sz w:val="28"/>
          <w:szCs w:val="28"/>
        </w:rPr>
      </w:pPr>
    </w:p>
    <w:p w:rsidR="00EC1104" w:rsidRPr="00FC4B2C" w:rsidRDefault="00EC1104" w:rsidP="00627015">
      <w:pPr>
        <w:spacing w:line="240" w:lineRule="auto"/>
        <w:ind w:right="236" w:firstLine="550"/>
        <w:jc w:val="both"/>
        <w:rPr>
          <w:rFonts w:ascii="Times New Roman" w:hAnsi="Times New Roman"/>
          <w:sz w:val="28"/>
          <w:szCs w:val="28"/>
        </w:rPr>
      </w:pPr>
      <w:r w:rsidRPr="00627015">
        <w:rPr>
          <w:rFonts w:ascii="Times New Roman" w:hAnsi="Times New Roman"/>
          <w:b/>
          <w:sz w:val="28"/>
          <w:szCs w:val="28"/>
        </w:rPr>
        <w:t xml:space="preserve"> </w:t>
      </w:r>
      <w:r w:rsidRPr="00FC4B2C">
        <w:rPr>
          <w:rFonts w:ascii="Times New Roman" w:hAnsi="Times New Roman"/>
          <w:sz w:val="28"/>
          <w:szCs w:val="28"/>
        </w:rPr>
        <w:tab/>
        <w:t>Реализация инвестиционной программы по комплексному развитию системы теплоснабжения на 2008 – 2018 годы с привлечением кредитных ресурсов УП «РТС» города Радужный.</w:t>
      </w:r>
    </w:p>
    <w:p w:rsidR="00EC1104" w:rsidRPr="00627015" w:rsidRDefault="00EC1104" w:rsidP="00627015">
      <w:pPr>
        <w:spacing w:after="0" w:line="240" w:lineRule="auto"/>
        <w:ind w:right="236"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 xml:space="preserve">В 2008 года решением Думы города Радужный №534 от 22 декабря 2008 года была утверждена инвестиционная программа УП «РТС» города Радужный по программе комплексного развития системы теплоснабжения города Радужный на 2008-2018 г.г. </w:t>
      </w:r>
    </w:p>
    <w:p w:rsidR="00EC1104" w:rsidRPr="00627015" w:rsidRDefault="00EC1104" w:rsidP="00627015">
      <w:pPr>
        <w:spacing w:after="0" w:line="240" w:lineRule="auto"/>
        <w:ind w:right="236" w:firstLine="550"/>
        <w:jc w:val="both"/>
        <w:rPr>
          <w:rFonts w:ascii="Times New Roman" w:hAnsi="Times New Roman"/>
          <w:sz w:val="28"/>
          <w:szCs w:val="28"/>
        </w:rPr>
      </w:pPr>
      <w:r>
        <w:tab/>
      </w:r>
      <w:r w:rsidRPr="00627015">
        <w:rPr>
          <w:rFonts w:ascii="Times New Roman" w:hAnsi="Times New Roman"/>
          <w:sz w:val="28"/>
          <w:szCs w:val="28"/>
        </w:rPr>
        <w:t>Для реализации инвестиционной программы УП «РТС» города Радужный привлекло  кредитные ресурсы в ОАО «Ханты-Мансийский банк» на сумму 202639,63 тыс. руб. в том числе по следующим договорам кредитной линии:</w:t>
      </w:r>
    </w:p>
    <w:p w:rsidR="00EC1104" w:rsidRPr="00627015" w:rsidRDefault="00EC1104" w:rsidP="00627015">
      <w:pPr>
        <w:spacing w:after="0" w:line="240" w:lineRule="auto"/>
        <w:ind w:right="236" w:firstLine="550"/>
        <w:jc w:val="both"/>
        <w:rPr>
          <w:rFonts w:ascii="Times New Roman" w:hAnsi="Times New Roman"/>
          <w:sz w:val="28"/>
          <w:szCs w:val="28"/>
        </w:rPr>
      </w:pPr>
      <w:r>
        <w:tab/>
      </w:r>
      <w:r w:rsidRPr="00627015">
        <w:rPr>
          <w:rFonts w:ascii="Times New Roman" w:hAnsi="Times New Roman"/>
          <w:sz w:val="28"/>
          <w:szCs w:val="28"/>
        </w:rPr>
        <w:t>1. №506 от 04.04.2006 г. на сумму 80684,8 тыс. руб.;</w:t>
      </w:r>
    </w:p>
    <w:p w:rsidR="00EC1104" w:rsidRPr="00627015" w:rsidRDefault="00EC1104" w:rsidP="00627015">
      <w:pPr>
        <w:spacing w:after="0" w:line="240" w:lineRule="auto"/>
        <w:ind w:right="236" w:firstLine="550"/>
        <w:jc w:val="both"/>
        <w:rPr>
          <w:rFonts w:ascii="Times New Roman" w:hAnsi="Times New Roman"/>
          <w:sz w:val="28"/>
          <w:szCs w:val="28"/>
        </w:rPr>
      </w:pPr>
      <w:r w:rsidRPr="00627015">
        <w:rPr>
          <w:rFonts w:ascii="Times New Roman" w:hAnsi="Times New Roman"/>
          <w:sz w:val="28"/>
          <w:szCs w:val="28"/>
        </w:rPr>
        <w:tab/>
        <w:t>2. №553 от 12.04.2007 г. на сумму 49846 тыс. руб.;</w:t>
      </w:r>
    </w:p>
    <w:p w:rsidR="00EC1104" w:rsidRPr="00627015" w:rsidRDefault="00EC1104" w:rsidP="00627015">
      <w:pPr>
        <w:spacing w:after="0" w:line="240" w:lineRule="auto"/>
        <w:ind w:right="236" w:firstLine="550"/>
        <w:jc w:val="both"/>
        <w:rPr>
          <w:rFonts w:ascii="Times New Roman" w:hAnsi="Times New Roman"/>
          <w:sz w:val="28"/>
          <w:szCs w:val="28"/>
        </w:rPr>
      </w:pPr>
      <w:r w:rsidRPr="00627015">
        <w:rPr>
          <w:rFonts w:ascii="Times New Roman" w:hAnsi="Times New Roman"/>
          <w:sz w:val="28"/>
          <w:szCs w:val="28"/>
        </w:rPr>
        <w:tab/>
        <w:t>3. №632 от 14.08.2008 г. на сумму 72108,8 тыс. руб.</w:t>
      </w:r>
    </w:p>
    <w:p w:rsidR="00EC1104" w:rsidRPr="00627015" w:rsidRDefault="00EC1104" w:rsidP="00627015">
      <w:pPr>
        <w:spacing w:after="0" w:line="240" w:lineRule="auto"/>
        <w:ind w:right="236"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Все привлекаемые кредитные средства на выполнение мероприятий по Инвестиционной программе имели целевое назначение  и прошли неоднократную проверку органами кредитных организаций, окружными департаментами, счетной палатой.</w:t>
      </w:r>
    </w:p>
    <w:p w:rsidR="00EC1104" w:rsidRPr="00627015" w:rsidRDefault="00EC1104" w:rsidP="00627015">
      <w:pPr>
        <w:spacing w:after="0" w:line="240" w:lineRule="auto"/>
        <w:ind w:right="236" w:firstLine="550"/>
        <w:jc w:val="both"/>
        <w:rPr>
          <w:rFonts w:ascii="Times New Roman" w:hAnsi="Times New Roman"/>
          <w:sz w:val="28"/>
          <w:szCs w:val="28"/>
        </w:rPr>
      </w:pPr>
      <w:r w:rsidRPr="00627015">
        <w:rPr>
          <w:rFonts w:ascii="Times New Roman" w:hAnsi="Times New Roman"/>
          <w:sz w:val="28"/>
          <w:szCs w:val="28"/>
        </w:rPr>
        <w:tab/>
        <w:t xml:space="preserve">Всего за период реализации инвестиционной программы предприятие за счет собственных средств  по состоянию на 01.01.2016 года погасило основного долга по кредитным договорам на сумму </w:t>
      </w:r>
      <w:r w:rsidRPr="00FC4B2C">
        <w:rPr>
          <w:rFonts w:ascii="Times New Roman" w:hAnsi="Times New Roman"/>
          <w:sz w:val="28"/>
          <w:szCs w:val="28"/>
        </w:rPr>
        <w:t>148549,7 тыс. руб. в</w:t>
      </w:r>
      <w:r w:rsidRPr="00627015">
        <w:rPr>
          <w:rFonts w:ascii="Times New Roman" w:hAnsi="Times New Roman"/>
          <w:sz w:val="28"/>
          <w:szCs w:val="28"/>
        </w:rPr>
        <w:t xml:space="preserve"> том числе по кредитным договорам:</w:t>
      </w:r>
    </w:p>
    <w:p w:rsidR="00EC1104" w:rsidRPr="00627015" w:rsidRDefault="00EC1104" w:rsidP="00627015">
      <w:pPr>
        <w:spacing w:after="0" w:line="240" w:lineRule="auto"/>
        <w:ind w:right="236" w:firstLine="550"/>
        <w:jc w:val="both"/>
        <w:rPr>
          <w:rFonts w:ascii="Times New Roman" w:hAnsi="Times New Roman"/>
          <w:sz w:val="28"/>
          <w:szCs w:val="28"/>
        </w:rPr>
      </w:pPr>
      <w:r w:rsidRPr="00627015">
        <w:rPr>
          <w:rFonts w:ascii="Times New Roman" w:hAnsi="Times New Roman"/>
          <w:sz w:val="28"/>
          <w:szCs w:val="28"/>
        </w:rPr>
        <w:tab/>
        <w:t xml:space="preserve">1. </w:t>
      </w:r>
      <w:r>
        <w:rPr>
          <w:rFonts w:ascii="Times New Roman" w:hAnsi="Times New Roman"/>
          <w:sz w:val="28"/>
          <w:szCs w:val="28"/>
        </w:rPr>
        <w:t xml:space="preserve">№ 506 от 04.04.2006 </w:t>
      </w:r>
      <w:r w:rsidRPr="00627015">
        <w:rPr>
          <w:rFonts w:ascii="Times New Roman" w:hAnsi="Times New Roman"/>
          <w:sz w:val="28"/>
          <w:szCs w:val="28"/>
        </w:rPr>
        <w:t>–  80684,8 тыс. руб.; в т.ч. за 2015 год - 6673809</w:t>
      </w:r>
    </w:p>
    <w:p w:rsidR="00EC1104" w:rsidRPr="00627015" w:rsidRDefault="00EC1104" w:rsidP="00627015">
      <w:pPr>
        <w:spacing w:after="0" w:line="240" w:lineRule="auto"/>
        <w:ind w:right="236" w:firstLine="550"/>
        <w:jc w:val="both"/>
        <w:rPr>
          <w:rFonts w:ascii="Times New Roman" w:hAnsi="Times New Roman"/>
          <w:sz w:val="28"/>
          <w:szCs w:val="28"/>
        </w:rPr>
      </w:pPr>
      <w:r w:rsidRPr="00627015">
        <w:rPr>
          <w:rFonts w:ascii="Times New Roman" w:hAnsi="Times New Roman"/>
          <w:sz w:val="28"/>
          <w:szCs w:val="28"/>
        </w:rPr>
        <w:tab/>
        <w:t xml:space="preserve">2. </w:t>
      </w:r>
      <w:r>
        <w:rPr>
          <w:rFonts w:ascii="Times New Roman" w:hAnsi="Times New Roman"/>
          <w:sz w:val="28"/>
          <w:szCs w:val="28"/>
        </w:rPr>
        <w:t xml:space="preserve">№553 от 12.04.2007 </w:t>
      </w:r>
      <w:r w:rsidRPr="00627015">
        <w:rPr>
          <w:rFonts w:ascii="Times New Roman" w:hAnsi="Times New Roman"/>
          <w:sz w:val="28"/>
          <w:szCs w:val="28"/>
        </w:rPr>
        <w:t>– 49846 тыс. руб.; в т.ч. за 2015 год – 12866200</w:t>
      </w:r>
    </w:p>
    <w:p w:rsidR="00EC1104" w:rsidRPr="00627015" w:rsidRDefault="00EC1104" w:rsidP="00627015">
      <w:pPr>
        <w:spacing w:after="0" w:line="240" w:lineRule="auto"/>
        <w:ind w:right="236" w:firstLine="550"/>
        <w:jc w:val="both"/>
        <w:rPr>
          <w:rFonts w:ascii="Times New Roman" w:hAnsi="Times New Roman"/>
          <w:sz w:val="28"/>
          <w:szCs w:val="28"/>
        </w:rPr>
      </w:pPr>
      <w:r w:rsidRPr="00627015">
        <w:rPr>
          <w:rFonts w:ascii="Times New Roman" w:hAnsi="Times New Roman"/>
          <w:sz w:val="28"/>
          <w:szCs w:val="28"/>
        </w:rPr>
        <w:tab/>
        <w:t xml:space="preserve">3. </w:t>
      </w:r>
      <w:r>
        <w:rPr>
          <w:rFonts w:ascii="Times New Roman" w:hAnsi="Times New Roman"/>
          <w:sz w:val="28"/>
          <w:szCs w:val="28"/>
        </w:rPr>
        <w:t xml:space="preserve">№632 от 20.08.2008 </w:t>
      </w:r>
      <w:r w:rsidRPr="00627015">
        <w:rPr>
          <w:rFonts w:ascii="Times New Roman" w:hAnsi="Times New Roman"/>
          <w:sz w:val="28"/>
          <w:szCs w:val="28"/>
        </w:rPr>
        <w:t>– 18018,9 тыс. руб.</w:t>
      </w:r>
      <w:bookmarkStart w:id="0" w:name="_GoBack"/>
      <w:bookmarkEnd w:id="0"/>
      <w:r w:rsidRPr="00627015">
        <w:rPr>
          <w:rFonts w:ascii="Times New Roman" w:hAnsi="Times New Roman"/>
          <w:sz w:val="28"/>
          <w:szCs w:val="28"/>
        </w:rPr>
        <w:t xml:space="preserve"> в т.ч. за 2015 год – 5983800</w:t>
      </w:r>
      <w:r>
        <w:rPr>
          <w:rFonts w:ascii="Times New Roman" w:hAnsi="Times New Roman"/>
          <w:sz w:val="28"/>
          <w:szCs w:val="28"/>
        </w:rPr>
        <w:t>.</w:t>
      </w:r>
    </w:p>
    <w:p w:rsidR="00EC1104" w:rsidRPr="00627015" w:rsidRDefault="00EC1104" w:rsidP="00627015">
      <w:pPr>
        <w:spacing w:after="0" w:line="240" w:lineRule="auto"/>
        <w:ind w:right="236" w:firstLine="550"/>
        <w:jc w:val="both"/>
        <w:rPr>
          <w:rFonts w:ascii="Times New Roman" w:hAnsi="Times New Roman"/>
          <w:sz w:val="28"/>
          <w:szCs w:val="28"/>
        </w:rPr>
      </w:pPr>
      <w:r>
        <w:rPr>
          <w:rFonts w:ascii="Times New Roman" w:hAnsi="Times New Roman"/>
          <w:b/>
          <w:sz w:val="28"/>
          <w:szCs w:val="28"/>
        </w:rPr>
        <w:tab/>
      </w:r>
      <w:r w:rsidRPr="00627015">
        <w:rPr>
          <w:rFonts w:ascii="Times New Roman" w:hAnsi="Times New Roman"/>
          <w:sz w:val="28"/>
          <w:szCs w:val="28"/>
        </w:rPr>
        <w:t>Всего за 2015 год на погашение по кредитным линиям было направлено 25,5 млн. руб.</w:t>
      </w:r>
    </w:p>
    <w:p w:rsidR="00EC1104" w:rsidRPr="00627015" w:rsidRDefault="00EC1104" w:rsidP="00627015">
      <w:pPr>
        <w:spacing w:after="0" w:line="240" w:lineRule="auto"/>
        <w:ind w:right="236"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Источниками гашения основного долга по кредитным договорам являются собственные средства предприятия (амортизационные отчисления).</w:t>
      </w:r>
    </w:p>
    <w:p w:rsidR="00EC1104" w:rsidRPr="00627015" w:rsidRDefault="00EC1104" w:rsidP="00627015">
      <w:pPr>
        <w:spacing w:after="0" w:line="240" w:lineRule="auto"/>
        <w:ind w:right="236" w:firstLine="550"/>
        <w:jc w:val="both"/>
        <w:rPr>
          <w:rFonts w:ascii="Times New Roman" w:hAnsi="Times New Roman"/>
          <w:sz w:val="28"/>
          <w:szCs w:val="28"/>
        </w:rPr>
      </w:pPr>
      <w:r>
        <w:rPr>
          <w:rFonts w:ascii="Times New Roman" w:hAnsi="Times New Roman"/>
          <w:sz w:val="28"/>
          <w:szCs w:val="28"/>
        </w:rPr>
        <w:tab/>
        <w:t xml:space="preserve">Выполняя обязательства </w:t>
      </w:r>
      <w:r w:rsidRPr="00627015">
        <w:rPr>
          <w:rFonts w:ascii="Times New Roman" w:hAnsi="Times New Roman"/>
          <w:sz w:val="28"/>
          <w:szCs w:val="28"/>
        </w:rPr>
        <w:t>по мероприятиям инвестиционной программы, предприятие  направляло амортизационные отчисления  не только на погашение основного долга по привлеченным кредитным ресурсам, но и на выполнение мероприятий по замене изношенного оборудования,  на ремонт и замену сетей, приобретение комплектующих запчастей, подготовку предприятия к отопительному периоду и прочие услуги производственного характера.</w:t>
      </w:r>
    </w:p>
    <w:p w:rsidR="00EC1104" w:rsidRDefault="00EC1104" w:rsidP="00627015">
      <w:pPr>
        <w:spacing w:after="0" w:line="240" w:lineRule="auto"/>
        <w:ind w:right="236"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Разница между начисленной суммой за пользование кредитными ресурсами и суммой возмещаемых процентных ставок из средств округа и города оплачивается за счет средств предприятия. За период реализации инвестиционной программы предприятие за счет собственных средств оплатило % за пользование кредитными ресурсами в сумме 37727,96 тыс. руб.</w:t>
      </w:r>
    </w:p>
    <w:p w:rsidR="00EC1104" w:rsidRPr="00AD3F71" w:rsidRDefault="00EC1104" w:rsidP="00627015">
      <w:pPr>
        <w:spacing w:after="0" w:line="240" w:lineRule="auto"/>
        <w:ind w:right="236" w:firstLine="550"/>
        <w:jc w:val="both"/>
        <w:rPr>
          <w:rFonts w:ascii="Times New Roman" w:hAnsi="Times New Roman"/>
          <w:sz w:val="28"/>
          <w:szCs w:val="28"/>
        </w:rPr>
      </w:pPr>
    </w:p>
    <w:p w:rsidR="00EC1104" w:rsidRPr="00627015" w:rsidRDefault="00EC1104" w:rsidP="00627015">
      <w:pPr>
        <w:spacing w:after="0" w:line="240" w:lineRule="auto"/>
        <w:ind w:right="236" w:firstLine="550"/>
        <w:jc w:val="both"/>
        <w:rPr>
          <w:rFonts w:ascii="Times New Roman" w:hAnsi="Times New Roman"/>
          <w:b/>
          <w:sz w:val="28"/>
          <w:szCs w:val="28"/>
        </w:rPr>
      </w:pPr>
      <w:r>
        <w:rPr>
          <w:rFonts w:ascii="Times New Roman" w:hAnsi="Times New Roman"/>
          <w:b/>
          <w:sz w:val="28"/>
          <w:szCs w:val="28"/>
        </w:rPr>
        <w:tab/>
      </w:r>
      <w:r w:rsidRPr="00627015">
        <w:rPr>
          <w:rFonts w:ascii="Times New Roman" w:hAnsi="Times New Roman"/>
          <w:b/>
          <w:sz w:val="28"/>
          <w:szCs w:val="28"/>
        </w:rPr>
        <w:t>Работа с дебиторской задолженностью.</w:t>
      </w:r>
    </w:p>
    <w:p w:rsidR="00EC1104" w:rsidRPr="00627015" w:rsidRDefault="00EC1104" w:rsidP="00627015">
      <w:pPr>
        <w:spacing w:after="0" w:line="240" w:lineRule="auto"/>
        <w:ind w:right="236" w:firstLine="550"/>
        <w:jc w:val="both"/>
        <w:rPr>
          <w:rFonts w:ascii="Times New Roman" w:hAnsi="Times New Roman"/>
          <w:b/>
          <w:sz w:val="28"/>
          <w:szCs w:val="28"/>
        </w:rPr>
      </w:pP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В течение 2015 года по взысканию дебиторской задолженности пр</w:t>
      </w:r>
      <w:r>
        <w:rPr>
          <w:rFonts w:ascii="Times New Roman" w:hAnsi="Times New Roman"/>
          <w:sz w:val="28"/>
          <w:szCs w:val="28"/>
        </w:rPr>
        <w:t>оводились следующие мероприятия</w:t>
      </w:r>
      <w:r w:rsidRPr="00627015">
        <w:rPr>
          <w:rFonts w:ascii="Times New Roman" w:hAnsi="Times New Roman"/>
          <w:sz w:val="28"/>
          <w:szCs w:val="28"/>
        </w:rPr>
        <w:t>:</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1.</w:t>
      </w:r>
      <w:r>
        <w:rPr>
          <w:rFonts w:ascii="Times New Roman" w:hAnsi="Times New Roman"/>
          <w:sz w:val="28"/>
          <w:szCs w:val="28"/>
        </w:rPr>
        <w:t xml:space="preserve"> </w:t>
      </w:r>
      <w:r w:rsidRPr="00627015">
        <w:rPr>
          <w:rFonts w:ascii="Times New Roman" w:hAnsi="Times New Roman"/>
          <w:sz w:val="28"/>
          <w:szCs w:val="28"/>
        </w:rPr>
        <w:t>В отношении потребителей-граждан проживающих в многоквартирных домах, уведомлений, претензий об имеющейся задолженности было направлено в количестве 15000 ед. на общую сумму 50000000 руб. из них оплачено – 6 077 358 руб.</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2.</w:t>
      </w:r>
      <w:r>
        <w:rPr>
          <w:rFonts w:ascii="Times New Roman" w:hAnsi="Times New Roman"/>
          <w:sz w:val="28"/>
          <w:szCs w:val="28"/>
        </w:rPr>
        <w:t xml:space="preserve"> </w:t>
      </w:r>
      <w:r w:rsidRPr="00627015">
        <w:rPr>
          <w:rFonts w:ascii="Times New Roman" w:hAnsi="Times New Roman"/>
          <w:sz w:val="28"/>
          <w:szCs w:val="28"/>
        </w:rPr>
        <w:t>В отношении потребителей-граждан проживающих в индивидуальных домах уведомлений о</w:t>
      </w:r>
      <w:r>
        <w:rPr>
          <w:rFonts w:ascii="Times New Roman" w:hAnsi="Times New Roman"/>
          <w:sz w:val="28"/>
          <w:szCs w:val="28"/>
        </w:rPr>
        <w:t>б</w:t>
      </w:r>
      <w:r w:rsidRPr="00627015">
        <w:rPr>
          <w:rFonts w:ascii="Times New Roman" w:hAnsi="Times New Roman"/>
          <w:sz w:val="28"/>
          <w:szCs w:val="28"/>
        </w:rPr>
        <w:t xml:space="preserve"> имеющейся задолженности было направлено и вручено 610 шт. на общую сумму 5876538 руб., из них оплачено – 3645707 руб.</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3.</w:t>
      </w:r>
      <w:r>
        <w:rPr>
          <w:rFonts w:ascii="Times New Roman" w:hAnsi="Times New Roman"/>
          <w:sz w:val="28"/>
          <w:szCs w:val="28"/>
        </w:rPr>
        <w:t xml:space="preserve"> </w:t>
      </w:r>
      <w:r w:rsidRPr="00627015">
        <w:rPr>
          <w:rFonts w:ascii="Times New Roman" w:hAnsi="Times New Roman"/>
          <w:sz w:val="28"/>
          <w:szCs w:val="28"/>
        </w:rPr>
        <w:t>В отношении потребителей-организаций предупреждений было направлено и вручено в количестве 251 ед. на общую сумму 7150338 руб.</w:t>
      </w:r>
      <w:r>
        <w:rPr>
          <w:rFonts w:ascii="Times New Roman" w:hAnsi="Times New Roman"/>
          <w:sz w:val="28"/>
          <w:szCs w:val="28"/>
        </w:rPr>
        <w:t xml:space="preserve"> </w:t>
      </w:r>
      <w:r w:rsidRPr="00627015">
        <w:rPr>
          <w:rFonts w:ascii="Times New Roman" w:hAnsi="Times New Roman"/>
          <w:sz w:val="28"/>
          <w:szCs w:val="28"/>
        </w:rPr>
        <w:t>претензий  в количестве 29 шт. на сумму 1387267 руб.</w:t>
      </w:r>
      <w:r>
        <w:rPr>
          <w:rFonts w:ascii="Times New Roman" w:hAnsi="Times New Roman"/>
          <w:sz w:val="28"/>
          <w:szCs w:val="28"/>
        </w:rPr>
        <w:t xml:space="preserve">, </w:t>
      </w:r>
      <w:r w:rsidRPr="00627015">
        <w:rPr>
          <w:rFonts w:ascii="Times New Roman" w:hAnsi="Times New Roman"/>
          <w:sz w:val="28"/>
          <w:szCs w:val="28"/>
        </w:rPr>
        <w:t>из них оплачено – 4763387 руб.</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4.</w:t>
      </w:r>
      <w:r>
        <w:rPr>
          <w:rFonts w:ascii="Times New Roman" w:hAnsi="Times New Roman"/>
          <w:sz w:val="28"/>
          <w:szCs w:val="28"/>
        </w:rPr>
        <w:t xml:space="preserve"> </w:t>
      </w:r>
      <w:r w:rsidRPr="00627015">
        <w:rPr>
          <w:rFonts w:ascii="Times New Roman" w:hAnsi="Times New Roman"/>
          <w:sz w:val="28"/>
          <w:szCs w:val="28"/>
        </w:rPr>
        <w:t>Извещений о прекращении подачи тепловой энергии вручено в количестве 216 ед. из них физическим лицам – 132 шт., юридическим лицам – 84 шт.</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5.</w:t>
      </w:r>
      <w:r>
        <w:rPr>
          <w:rFonts w:ascii="Times New Roman" w:hAnsi="Times New Roman"/>
          <w:sz w:val="28"/>
          <w:szCs w:val="28"/>
        </w:rPr>
        <w:t xml:space="preserve"> </w:t>
      </w:r>
      <w:r w:rsidRPr="00627015">
        <w:rPr>
          <w:rFonts w:ascii="Times New Roman" w:hAnsi="Times New Roman"/>
          <w:sz w:val="28"/>
          <w:szCs w:val="28"/>
        </w:rPr>
        <w:t>Отключено от системы теплоснабжения 27 объектов., из них жилых в количестве 23 шт., нежилых – 4 шт. После погашения задолженности подключено жилых – 20 ед., нежилых – 4.</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6.</w:t>
      </w:r>
      <w:r>
        <w:rPr>
          <w:rFonts w:ascii="Times New Roman" w:hAnsi="Times New Roman"/>
          <w:sz w:val="28"/>
          <w:szCs w:val="28"/>
        </w:rPr>
        <w:t xml:space="preserve"> </w:t>
      </w:r>
      <w:r w:rsidRPr="00627015">
        <w:rPr>
          <w:rFonts w:ascii="Times New Roman" w:hAnsi="Times New Roman"/>
          <w:sz w:val="28"/>
          <w:szCs w:val="28"/>
        </w:rPr>
        <w:t>Заключены соглашения о рассрочке задолженности в количестве 298 шт. на общую сумму 6485314 руб. из них оплачено 3388956 руб.</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7.</w:t>
      </w:r>
      <w:r>
        <w:rPr>
          <w:rFonts w:ascii="Times New Roman" w:hAnsi="Times New Roman"/>
          <w:sz w:val="28"/>
          <w:szCs w:val="28"/>
        </w:rPr>
        <w:t xml:space="preserve"> </w:t>
      </w:r>
      <w:r w:rsidRPr="00627015">
        <w:rPr>
          <w:rFonts w:ascii="Times New Roman" w:hAnsi="Times New Roman"/>
          <w:sz w:val="28"/>
          <w:szCs w:val="28"/>
        </w:rPr>
        <w:t>Для взыскания через судебные органы в отношении должников-граждан подано 106 исков на сумму 1419151 руб., из них оплачено после вынесения решения суда – 784577руб., до вынесения решения – 404698 руб.</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8.</w:t>
      </w:r>
      <w:r>
        <w:rPr>
          <w:rFonts w:ascii="Times New Roman" w:hAnsi="Times New Roman"/>
          <w:sz w:val="28"/>
          <w:szCs w:val="28"/>
        </w:rPr>
        <w:t xml:space="preserve"> </w:t>
      </w:r>
      <w:r w:rsidRPr="00627015">
        <w:rPr>
          <w:rFonts w:ascii="Times New Roman" w:hAnsi="Times New Roman"/>
          <w:sz w:val="28"/>
          <w:szCs w:val="28"/>
        </w:rPr>
        <w:t>Для взыскания через судебные органы в отношении должников – организаций подготовлено 12 исков на сумму 25700654 руб.</w:t>
      </w:r>
    </w:p>
    <w:p w:rsidR="00EC1104" w:rsidRPr="00627015"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t xml:space="preserve">За период с 01.01.2015 Предприятием </w:t>
      </w:r>
      <w:r w:rsidRPr="00627015">
        <w:rPr>
          <w:rFonts w:ascii="Times New Roman" w:hAnsi="Times New Roman"/>
          <w:sz w:val="28"/>
          <w:szCs w:val="28"/>
        </w:rPr>
        <w:t>ежедневно проводится прием граждан по заключению, перезаключению договоров на предоставление тепловой энергии для объектов, сбор недостающих документов, ежемесячно проводится работа с должниками по вручению предупреждений об имеющейся задолженности.</w:t>
      </w:r>
    </w:p>
    <w:p w:rsidR="00EC1104" w:rsidRDefault="00EC1104" w:rsidP="00627015">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По итогам проведенных мероприятий по возврату задолженности предприятию возмещено 19064686 руб. В судебном производстве находится 30 исковых заявлений на общую сумму 24 877 622 руб.</w:t>
      </w:r>
    </w:p>
    <w:p w:rsidR="00EC1104" w:rsidRPr="00627015" w:rsidRDefault="00EC1104" w:rsidP="00627015">
      <w:pPr>
        <w:spacing w:after="0" w:line="240" w:lineRule="auto"/>
        <w:ind w:firstLine="550"/>
        <w:jc w:val="both"/>
        <w:rPr>
          <w:rFonts w:ascii="Times New Roman" w:hAnsi="Times New Roman"/>
          <w:sz w:val="28"/>
          <w:szCs w:val="28"/>
        </w:rPr>
      </w:pPr>
    </w:p>
    <w:p w:rsidR="00EC1104" w:rsidRPr="00627015" w:rsidRDefault="00EC1104" w:rsidP="005454A0">
      <w:pPr>
        <w:tabs>
          <w:tab w:val="left" w:pos="880"/>
        </w:tabs>
        <w:spacing w:line="240" w:lineRule="auto"/>
        <w:ind w:right="236" w:firstLine="550"/>
        <w:jc w:val="both"/>
        <w:rPr>
          <w:rFonts w:ascii="Times New Roman" w:hAnsi="Times New Roman"/>
          <w:b/>
          <w:sz w:val="28"/>
          <w:szCs w:val="28"/>
        </w:rPr>
      </w:pPr>
      <w:r>
        <w:rPr>
          <w:rFonts w:ascii="Times New Roman" w:hAnsi="Times New Roman"/>
          <w:b/>
          <w:sz w:val="28"/>
          <w:szCs w:val="28"/>
        </w:rPr>
        <w:tab/>
      </w:r>
      <w:r w:rsidRPr="00627015">
        <w:rPr>
          <w:rFonts w:ascii="Times New Roman" w:hAnsi="Times New Roman"/>
          <w:b/>
          <w:sz w:val="28"/>
          <w:szCs w:val="28"/>
        </w:rPr>
        <w:t>Работа абонентского отдела.</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Предприятие УП «РТС» города Радужный с 01 июня 2015 года перешло на прямые договорные отношения по теплоснабжению с населением города Радужный. По инф</w:t>
      </w:r>
      <w:r>
        <w:rPr>
          <w:rFonts w:ascii="Times New Roman" w:hAnsi="Times New Roman"/>
          <w:sz w:val="28"/>
          <w:szCs w:val="28"/>
        </w:rPr>
        <w:t xml:space="preserve">ормации, полученной от </w:t>
      </w:r>
      <w:r w:rsidRPr="00627015">
        <w:rPr>
          <w:rFonts w:ascii="Times New Roman" w:hAnsi="Times New Roman"/>
          <w:sz w:val="28"/>
          <w:szCs w:val="28"/>
        </w:rPr>
        <w:t xml:space="preserve">ООО «РИЦ» количество действующих лицевых счетов составляет 14978 единиц. </w:t>
      </w:r>
      <w:r>
        <w:rPr>
          <w:rFonts w:ascii="Times New Roman" w:hAnsi="Times New Roman"/>
          <w:sz w:val="28"/>
          <w:szCs w:val="28"/>
        </w:rPr>
        <w:t xml:space="preserve">По состоянию на 01.06.2015 </w:t>
      </w:r>
      <w:r w:rsidRPr="00627015">
        <w:rPr>
          <w:rFonts w:ascii="Times New Roman" w:hAnsi="Times New Roman"/>
          <w:sz w:val="28"/>
          <w:szCs w:val="28"/>
        </w:rPr>
        <w:t>ООО «РИЦ» по акту приема-передачи задолженности за тепловую энергию передал информацию о задолженности в УП «РТС» города Радужный в сумме 56 755775,15 рублей. Также передана задолженность по пени в размере 2 327 348,82 рублей, инвестиционная надбавка в размере 165 553,00 рубля и пени на инвестиционную надбавку в размере 11 020 рублей.</w:t>
      </w:r>
    </w:p>
    <w:p w:rsidR="00EC1104" w:rsidRPr="00627015" w:rsidRDefault="00EC1104" w:rsidP="00AD3F71">
      <w:pPr>
        <w:tabs>
          <w:tab w:val="left" w:pos="880"/>
        </w:tabs>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 xml:space="preserve">В настоящее время потребителям предоставлен широкий спектр вариантов оплаты тепловой энергии. Сбербанк России предоставляет две физические кассы в своих офисах и все электронные сервисы. Ханты-Мансийский банк предоставляет для оплаты все электронные инструменты для оплаты. Кроме этого работают две физические кассы в офисе «Радужныйтеплосеть» и в здании Аган-Града. Также можно оплатить теплоэнергию в кассе ОАО ЮТЭК. В настоящее время подготовлен для работы единый портал гос. </w:t>
      </w:r>
      <w:r>
        <w:rPr>
          <w:rFonts w:ascii="Times New Roman" w:hAnsi="Times New Roman"/>
          <w:sz w:val="28"/>
          <w:szCs w:val="28"/>
        </w:rPr>
        <w:t>услуг под управлением Инфо-</w:t>
      </w:r>
      <w:r w:rsidRPr="00627015">
        <w:rPr>
          <w:rFonts w:ascii="Times New Roman" w:hAnsi="Times New Roman"/>
          <w:sz w:val="28"/>
          <w:szCs w:val="28"/>
        </w:rPr>
        <w:t>Югра, и соглашение с банком Ермак по приему платежей.</w:t>
      </w:r>
    </w:p>
    <w:p w:rsidR="00EC1104" w:rsidRPr="00627015" w:rsidRDefault="00EC1104" w:rsidP="00627015">
      <w:pPr>
        <w:spacing w:line="240" w:lineRule="auto"/>
        <w:ind w:right="236" w:firstLine="550"/>
        <w:jc w:val="both"/>
        <w:rPr>
          <w:sz w:val="28"/>
          <w:szCs w:val="28"/>
        </w:rPr>
      </w:pPr>
      <w:r>
        <w:rPr>
          <w:rFonts w:ascii="Times New Roman" w:hAnsi="Times New Roman"/>
          <w:sz w:val="28"/>
          <w:szCs w:val="28"/>
        </w:rPr>
        <w:tab/>
      </w:r>
      <w:r w:rsidRPr="00627015">
        <w:rPr>
          <w:rFonts w:ascii="Times New Roman" w:hAnsi="Times New Roman"/>
          <w:sz w:val="28"/>
          <w:szCs w:val="28"/>
        </w:rPr>
        <w:t>Результат</w:t>
      </w:r>
      <w:r>
        <w:rPr>
          <w:rFonts w:ascii="Times New Roman" w:hAnsi="Times New Roman"/>
          <w:sz w:val="28"/>
          <w:szCs w:val="28"/>
        </w:rPr>
        <w:t>ы работы абон. отдела следующие</w:t>
      </w:r>
      <w:r w:rsidRPr="00627015">
        <w:rPr>
          <w:rFonts w:ascii="Times New Roman" w:hAnsi="Times New Roman"/>
          <w:sz w:val="28"/>
          <w:szCs w:val="28"/>
        </w:rPr>
        <w:t>:</w:t>
      </w:r>
    </w:p>
    <w:tbl>
      <w:tblPr>
        <w:tblW w:w="1114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430"/>
        <w:gridCol w:w="1430"/>
        <w:gridCol w:w="1430"/>
        <w:gridCol w:w="660"/>
        <w:gridCol w:w="1430"/>
        <w:gridCol w:w="1466"/>
        <w:gridCol w:w="1540"/>
        <w:gridCol w:w="770"/>
      </w:tblGrid>
      <w:tr w:rsidR="00EC1104" w:rsidRPr="00627015" w:rsidTr="00AD3F71">
        <w:trPr>
          <w:cantSplit/>
          <w:trHeight w:val="762"/>
        </w:trPr>
        <w:tc>
          <w:tcPr>
            <w:tcW w:w="990"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Дата</w:t>
            </w:r>
          </w:p>
        </w:tc>
        <w:tc>
          <w:tcPr>
            <w:tcW w:w="1430"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Сальдо на начало месяца начислено</w:t>
            </w:r>
          </w:p>
        </w:tc>
        <w:tc>
          <w:tcPr>
            <w:tcW w:w="1430"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начислено</w:t>
            </w:r>
          </w:p>
        </w:tc>
        <w:tc>
          <w:tcPr>
            <w:tcW w:w="1430"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оплачено</w:t>
            </w:r>
          </w:p>
        </w:tc>
        <w:tc>
          <w:tcPr>
            <w:tcW w:w="660"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 сбора</w:t>
            </w:r>
          </w:p>
        </w:tc>
        <w:tc>
          <w:tcPr>
            <w:tcW w:w="1430"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Сальдо конечное</w:t>
            </w:r>
          </w:p>
        </w:tc>
        <w:tc>
          <w:tcPr>
            <w:tcW w:w="1466"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Просроченная дебиторская задолженность</w:t>
            </w:r>
          </w:p>
        </w:tc>
        <w:tc>
          <w:tcPr>
            <w:tcW w:w="1540"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Оплата  просроченной дебиторской задолженности</w:t>
            </w:r>
          </w:p>
        </w:tc>
        <w:tc>
          <w:tcPr>
            <w:tcW w:w="770" w:type="dxa"/>
            <w:vAlign w:val="center"/>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sidRPr="00AD3F71">
              <w:rPr>
                <w:rFonts w:ascii="Times New Roman" w:hAnsi="Times New Roman"/>
                <w:sz w:val="20"/>
                <w:szCs w:val="20"/>
                <w:lang w:eastAsia="ru-RU"/>
              </w:rPr>
              <w:t>% сбора</w:t>
            </w: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01.06.</w:t>
            </w:r>
            <w:r w:rsidRPr="00AD3F71">
              <w:rPr>
                <w:rFonts w:ascii="Times New Roman" w:hAnsi="Times New Roman"/>
                <w:sz w:val="20"/>
                <w:szCs w:val="20"/>
                <w:lang w:eastAsia="ru-RU"/>
              </w:rPr>
              <w:t>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56 755 775,15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12 360 778,40</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12 387 753,84</w:t>
            </w:r>
          </w:p>
        </w:tc>
        <w:tc>
          <w:tcPr>
            <w:tcW w:w="66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76%</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56 731 949,99</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195 332,91</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01.07.</w:t>
            </w:r>
            <w:r w:rsidRPr="00AD3F71">
              <w:rPr>
                <w:rFonts w:ascii="Times New Roman" w:hAnsi="Times New Roman"/>
                <w:sz w:val="20"/>
                <w:szCs w:val="20"/>
                <w:lang w:eastAsia="ru-RU"/>
              </w:rPr>
              <w:t>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56 731 949,99</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12 950 815,54</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12 956 452,45</w:t>
            </w:r>
          </w:p>
        </w:tc>
        <w:tc>
          <w:tcPr>
            <w:tcW w:w="660" w:type="dxa"/>
          </w:tcPr>
          <w:p w:rsidR="00EC1104" w:rsidRPr="00AD3F71" w:rsidRDefault="00EC1104" w:rsidP="00AD3F71">
            <w:pPr>
              <w:autoSpaceDE w:val="0"/>
              <w:autoSpaceDN w:val="0"/>
              <w:adjustRightInd w:val="0"/>
              <w:spacing w:after="0" w:line="240" w:lineRule="auto"/>
              <w:ind w:left="-108"/>
              <w:jc w:val="right"/>
              <w:rPr>
                <w:rFonts w:ascii="Times New Roman" w:hAnsi="Times New Roman"/>
                <w:sz w:val="20"/>
                <w:szCs w:val="20"/>
                <w:lang w:eastAsia="ru-RU"/>
              </w:rPr>
            </w:pPr>
            <w:r w:rsidRPr="00AD3F71">
              <w:rPr>
                <w:rFonts w:ascii="Times New Roman" w:hAnsi="Times New Roman"/>
                <w:sz w:val="20"/>
                <w:szCs w:val="20"/>
                <w:lang w:eastAsia="ru-RU"/>
              </w:rPr>
              <w:t>104 %</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56 728 070,71</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34 129 771,45</w:t>
            </w: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1 372 960,38</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4,02%</w:t>
            </w: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01.08.</w:t>
            </w:r>
            <w:r w:rsidRPr="00AD3F71">
              <w:rPr>
                <w:rFonts w:ascii="Times New Roman" w:hAnsi="Times New Roman"/>
                <w:sz w:val="20"/>
                <w:szCs w:val="20"/>
                <w:lang w:eastAsia="ru-RU"/>
              </w:rPr>
              <w:t>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56 728 070,71</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14 852 616,34</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12 240 736,09</w:t>
            </w:r>
          </w:p>
        </w:tc>
        <w:tc>
          <w:tcPr>
            <w:tcW w:w="66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94 %</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59 340 969,47</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38 014 477,07</w:t>
            </w: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347 471,02</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0,91%</w:t>
            </w: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01.09.</w:t>
            </w:r>
            <w:r w:rsidRPr="00AD3F71">
              <w:rPr>
                <w:rFonts w:ascii="Times New Roman" w:hAnsi="Times New Roman"/>
                <w:sz w:val="20"/>
                <w:szCs w:val="20"/>
                <w:lang w:eastAsia="ru-RU"/>
              </w:rPr>
              <w:t>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59 340 969,47</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20 009 492,44</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13 447 487,30</w:t>
            </w:r>
          </w:p>
        </w:tc>
        <w:tc>
          <w:tcPr>
            <w:tcW w:w="66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90 %</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65 897 048,80</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40 626 836,73</w:t>
            </w: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350 000,00</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0,86%</w:t>
            </w: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01.10.</w:t>
            </w:r>
            <w:r w:rsidRPr="00AD3F71">
              <w:rPr>
                <w:rFonts w:ascii="Times New Roman" w:hAnsi="Times New Roman"/>
                <w:sz w:val="20"/>
                <w:szCs w:val="20"/>
                <w:lang w:eastAsia="ru-RU"/>
              </w:rPr>
              <w:t>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65 897 048,80</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20 495 334,64</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17 536 317,17</w:t>
            </w:r>
          </w:p>
        </w:tc>
        <w:tc>
          <w:tcPr>
            <w:tcW w:w="66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87 %</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68 856 073,39</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55 708 956,46</w:t>
            </w: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670 559,55</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1,3 %</w:t>
            </w: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01.11.</w:t>
            </w:r>
            <w:r w:rsidRPr="00AD3F71">
              <w:rPr>
                <w:rFonts w:ascii="Times New Roman" w:hAnsi="Times New Roman"/>
                <w:sz w:val="20"/>
                <w:szCs w:val="20"/>
                <w:lang w:eastAsia="ru-RU"/>
              </w:rPr>
              <w:t>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68 856 073,39</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23 253 808,15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19 336 196,83</w:t>
            </w:r>
          </w:p>
        </w:tc>
        <w:tc>
          <w:tcPr>
            <w:tcW w:w="66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94 %</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72 773 701,97</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55 548 746,05</w:t>
            </w: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853 623,63</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1,6%</w:t>
            </w: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w:t>
            </w:r>
            <w:r w:rsidRPr="00AD3F71">
              <w:rPr>
                <w:rFonts w:ascii="Times New Roman" w:hAnsi="Times New Roman"/>
                <w:sz w:val="20"/>
                <w:szCs w:val="20"/>
                <w:lang w:eastAsia="ru-RU"/>
              </w:rPr>
              <w:t>15</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72 773 701,97</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22 761 333,39</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26 744 292,15</w:t>
            </w:r>
          </w:p>
        </w:tc>
        <w:tc>
          <w:tcPr>
            <w:tcW w:w="660" w:type="dxa"/>
          </w:tcPr>
          <w:p w:rsidR="00EC1104" w:rsidRPr="00AD3F71" w:rsidRDefault="00EC1104" w:rsidP="00AD3F71">
            <w:pPr>
              <w:autoSpaceDE w:val="0"/>
              <w:autoSpaceDN w:val="0"/>
              <w:adjustRightInd w:val="0"/>
              <w:spacing w:after="0" w:line="240" w:lineRule="auto"/>
              <w:ind w:left="-108"/>
              <w:jc w:val="right"/>
              <w:rPr>
                <w:rFonts w:ascii="Times New Roman" w:hAnsi="Times New Roman"/>
                <w:sz w:val="20"/>
                <w:szCs w:val="20"/>
                <w:lang w:eastAsia="ru-RU"/>
              </w:rPr>
            </w:pPr>
            <w:r w:rsidRPr="00AD3F71">
              <w:rPr>
                <w:rFonts w:ascii="Times New Roman" w:hAnsi="Times New Roman"/>
                <w:sz w:val="20"/>
                <w:szCs w:val="20"/>
                <w:lang w:eastAsia="ru-RU"/>
              </w:rPr>
              <w:t>117%</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68 354 772,44</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57 984 687,94</w:t>
            </w: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1 580 203,00</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2,73%</w:t>
            </w: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01.01.</w:t>
            </w:r>
            <w:r w:rsidRPr="00AD3F71">
              <w:rPr>
                <w:rFonts w:ascii="Times New Roman" w:hAnsi="Times New Roman"/>
                <w:sz w:val="20"/>
                <w:szCs w:val="20"/>
                <w:lang w:eastAsia="ru-RU"/>
              </w:rPr>
              <w:t>16</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68 354 772,44</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25 680 314,62</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18 567 669,43</w:t>
            </w:r>
          </w:p>
        </w:tc>
        <w:tc>
          <w:tcPr>
            <w:tcW w:w="66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72%</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75 464 654,11</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57 174 903,10</w:t>
            </w: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1 048 489,06</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1,8%</w:t>
            </w:r>
          </w:p>
        </w:tc>
      </w:tr>
      <w:tr w:rsidR="00EC1104" w:rsidRPr="00627015" w:rsidTr="00AD3F71">
        <w:tc>
          <w:tcPr>
            <w:tcW w:w="990" w:type="dxa"/>
          </w:tcPr>
          <w:p w:rsidR="00EC1104" w:rsidRPr="00AD3F71" w:rsidRDefault="00EC1104" w:rsidP="0062701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01.02.</w:t>
            </w:r>
            <w:r w:rsidRPr="00AD3F71">
              <w:rPr>
                <w:rFonts w:ascii="Times New Roman" w:hAnsi="Times New Roman"/>
                <w:sz w:val="20"/>
                <w:szCs w:val="20"/>
                <w:lang w:eastAsia="ru-RU"/>
              </w:rPr>
              <w:t>16</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75 464 654,11</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22 867 650,60</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23 638 924,10</w:t>
            </w:r>
          </w:p>
        </w:tc>
        <w:tc>
          <w:tcPr>
            <w:tcW w:w="660" w:type="dxa"/>
          </w:tcPr>
          <w:p w:rsidR="00EC1104" w:rsidRPr="00AD3F71" w:rsidRDefault="00EC1104" w:rsidP="00AD3F71">
            <w:pPr>
              <w:autoSpaceDE w:val="0"/>
              <w:autoSpaceDN w:val="0"/>
              <w:adjustRightInd w:val="0"/>
              <w:spacing w:after="0" w:line="240" w:lineRule="auto"/>
              <w:ind w:left="-108"/>
              <w:jc w:val="right"/>
              <w:rPr>
                <w:rFonts w:ascii="Times New Roman" w:hAnsi="Times New Roman"/>
                <w:sz w:val="20"/>
                <w:szCs w:val="20"/>
                <w:lang w:eastAsia="ru-RU"/>
              </w:rPr>
            </w:pPr>
            <w:r w:rsidRPr="00AD3F71">
              <w:rPr>
                <w:rFonts w:ascii="Times New Roman" w:hAnsi="Times New Roman"/>
                <w:sz w:val="20"/>
                <w:szCs w:val="20"/>
                <w:lang w:eastAsia="ru-RU"/>
              </w:rPr>
              <w:t>103%</w:t>
            </w:r>
          </w:p>
        </w:tc>
        <w:tc>
          <w:tcPr>
            <w:tcW w:w="143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74 691 656,85</w:t>
            </w:r>
          </w:p>
        </w:tc>
        <w:tc>
          <w:tcPr>
            <w:tcW w:w="1466"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55 745 786,72</w:t>
            </w:r>
          </w:p>
        </w:tc>
        <w:tc>
          <w:tcPr>
            <w:tcW w:w="154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1 207 154,66</w:t>
            </w:r>
          </w:p>
        </w:tc>
        <w:tc>
          <w:tcPr>
            <w:tcW w:w="770" w:type="dxa"/>
          </w:tcPr>
          <w:p w:rsidR="00EC1104" w:rsidRPr="00AD3F71" w:rsidRDefault="00EC1104" w:rsidP="00627015">
            <w:pPr>
              <w:autoSpaceDE w:val="0"/>
              <w:autoSpaceDN w:val="0"/>
              <w:adjustRightInd w:val="0"/>
              <w:spacing w:after="0" w:line="240" w:lineRule="auto"/>
              <w:jc w:val="right"/>
              <w:rPr>
                <w:rFonts w:ascii="Times New Roman" w:hAnsi="Times New Roman"/>
                <w:sz w:val="20"/>
                <w:szCs w:val="20"/>
                <w:lang w:eastAsia="ru-RU"/>
              </w:rPr>
            </w:pPr>
            <w:r w:rsidRPr="00AD3F71">
              <w:rPr>
                <w:rFonts w:ascii="Times New Roman" w:hAnsi="Times New Roman"/>
                <w:sz w:val="20"/>
                <w:szCs w:val="20"/>
                <w:lang w:eastAsia="ru-RU"/>
              </w:rPr>
              <w:t>2,17%</w:t>
            </w:r>
          </w:p>
        </w:tc>
      </w:tr>
    </w:tbl>
    <w:p w:rsidR="00EC1104" w:rsidRDefault="00EC1104" w:rsidP="00FC4B2C">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Средний процент сбора составил с 0</w:t>
      </w:r>
      <w:r>
        <w:rPr>
          <w:rFonts w:ascii="Times New Roman" w:hAnsi="Times New Roman"/>
          <w:sz w:val="28"/>
          <w:szCs w:val="28"/>
        </w:rPr>
        <w:t xml:space="preserve">1.06.2015 </w:t>
      </w:r>
      <w:r w:rsidRPr="00627015">
        <w:rPr>
          <w:rFonts w:ascii="Times New Roman" w:hAnsi="Times New Roman"/>
          <w:sz w:val="28"/>
          <w:szCs w:val="28"/>
        </w:rPr>
        <w:t>по 01.01.2016 – 97,6%.</w:t>
      </w:r>
    </w:p>
    <w:p w:rsidR="00EC1104" w:rsidRDefault="00EC1104" w:rsidP="00FC4B2C">
      <w:pPr>
        <w:spacing w:after="0" w:line="240" w:lineRule="auto"/>
        <w:ind w:right="238"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Просроченной задолженности за этот же период собрано 6,22 млн.</w:t>
      </w:r>
      <w:r>
        <w:rPr>
          <w:rFonts w:ascii="Times New Roman" w:hAnsi="Times New Roman"/>
          <w:sz w:val="28"/>
          <w:szCs w:val="28"/>
        </w:rPr>
        <w:t xml:space="preserve"> </w:t>
      </w:r>
      <w:r w:rsidRPr="00627015">
        <w:rPr>
          <w:rFonts w:ascii="Times New Roman" w:hAnsi="Times New Roman"/>
          <w:sz w:val="28"/>
          <w:szCs w:val="28"/>
        </w:rPr>
        <w:t>руб.</w:t>
      </w:r>
    </w:p>
    <w:p w:rsidR="00EC1104" w:rsidRPr="00627015" w:rsidRDefault="00EC1104" w:rsidP="00FC4B2C">
      <w:pPr>
        <w:spacing w:after="0" w:line="240" w:lineRule="auto"/>
        <w:ind w:right="238" w:firstLine="550"/>
        <w:jc w:val="both"/>
        <w:rPr>
          <w:rFonts w:ascii="Times New Roman" w:hAnsi="Times New Roman"/>
          <w:sz w:val="28"/>
          <w:szCs w:val="28"/>
        </w:rPr>
      </w:pPr>
    </w:p>
    <w:p w:rsidR="00EC1104" w:rsidRPr="00627015" w:rsidRDefault="00EC1104" w:rsidP="00627015">
      <w:pPr>
        <w:spacing w:line="240" w:lineRule="auto"/>
        <w:ind w:right="236" w:firstLine="550"/>
        <w:jc w:val="both"/>
        <w:rPr>
          <w:rFonts w:ascii="Times New Roman" w:hAnsi="Times New Roman"/>
          <w:b/>
          <w:sz w:val="28"/>
          <w:szCs w:val="28"/>
        </w:rPr>
      </w:pPr>
      <w:r>
        <w:rPr>
          <w:rFonts w:ascii="Times New Roman" w:hAnsi="Times New Roman"/>
          <w:b/>
          <w:sz w:val="28"/>
          <w:szCs w:val="28"/>
        </w:rPr>
        <w:tab/>
      </w:r>
      <w:r w:rsidRPr="00627015">
        <w:rPr>
          <w:rFonts w:ascii="Times New Roman" w:hAnsi="Times New Roman"/>
          <w:b/>
          <w:sz w:val="28"/>
          <w:szCs w:val="28"/>
        </w:rPr>
        <w:t>Социальные вопросы. Коллективный договор.</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t xml:space="preserve">По состоянию на 01.01.2016 </w:t>
      </w:r>
      <w:r w:rsidRPr="00627015">
        <w:rPr>
          <w:rFonts w:ascii="Times New Roman" w:hAnsi="Times New Roman"/>
          <w:sz w:val="28"/>
          <w:szCs w:val="28"/>
        </w:rPr>
        <w:t xml:space="preserve">на предприятии работает 306 человек. За 2015 год было принято 56 человек, уволено 50 человек, в т.ч. с выходом на </w:t>
      </w:r>
      <w:r>
        <w:rPr>
          <w:rFonts w:ascii="Times New Roman" w:hAnsi="Times New Roman"/>
          <w:sz w:val="28"/>
          <w:szCs w:val="28"/>
        </w:rPr>
        <w:t xml:space="preserve">пенсию – </w:t>
      </w:r>
      <w:r w:rsidRPr="00627015">
        <w:rPr>
          <w:rFonts w:ascii="Times New Roman" w:hAnsi="Times New Roman"/>
          <w:sz w:val="28"/>
          <w:szCs w:val="28"/>
        </w:rPr>
        <w:t>16 работников. За отчетный период предоставлено отпусков в размере 12799 календарных дней. Выплата отпускных и материальной помощи к отпуску производилась бе</w:t>
      </w:r>
      <w:r>
        <w:rPr>
          <w:rFonts w:ascii="Times New Roman" w:hAnsi="Times New Roman"/>
          <w:sz w:val="28"/>
          <w:szCs w:val="28"/>
        </w:rPr>
        <w:t>з задержек, и в общем составила</w:t>
      </w:r>
      <w:r w:rsidRPr="00627015">
        <w:rPr>
          <w:rFonts w:ascii="Times New Roman" w:hAnsi="Times New Roman"/>
          <w:sz w:val="28"/>
          <w:szCs w:val="28"/>
        </w:rPr>
        <w:t>:</w:t>
      </w:r>
      <w:r>
        <w:rPr>
          <w:rFonts w:ascii="Times New Roman" w:hAnsi="Times New Roman"/>
          <w:sz w:val="28"/>
          <w:szCs w:val="28"/>
        </w:rPr>
        <w:t xml:space="preserve"> отпускные – 18575 тыс. руб., материальная помощь к отпуску – </w:t>
      </w:r>
      <w:r w:rsidRPr="00627015">
        <w:rPr>
          <w:rFonts w:ascii="Times New Roman" w:hAnsi="Times New Roman"/>
          <w:sz w:val="28"/>
          <w:szCs w:val="28"/>
        </w:rPr>
        <w:t>4180,9 тыс.</w:t>
      </w:r>
      <w:r>
        <w:rPr>
          <w:rFonts w:ascii="Times New Roman" w:hAnsi="Times New Roman"/>
          <w:sz w:val="28"/>
          <w:szCs w:val="28"/>
        </w:rPr>
        <w:t xml:space="preserve"> </w:t>
      </w:r>
      <w:r w:rsidRPr="00627015">
        <w:rPr>
          <w:rFonts w:ascii="Times New Roman" w:hAnsi="Times New Roman"/>
          <w:sz w:val="28"/>
          <w:szCs w:val="28"/>
        </w:rPr>
        <w:t>руб. Материальная помощь при уходе на пенсию – 1196,24 тыс.</w:t>
      </w:r>
      <w:r>
        <w:rPr>
          <w:rFonts w:ascii="Times New Roman" w:hAnsi="Times New Roman"/>
          <w:sz w:val="28"/>
          <w:szCs w:val="28"/>
        </w:rPr>
        <w:t xml:space="preserve"> </w:t>
      </w:r>
      <w:r w:rsidRPr="00627015">
        <w:rPr>
          <w:rFonts w:ascii="Times New Roman" w:hAnsi="Times New Roman"/>
          <w:sz w:val="28"/>
          <w:szCs w:val="28"/>
        </w:rPr>
        <w:t>руб.</w:t>
      </w:r>
      <w:r>
        <w:rPr>
          <w:rFonts w:ascii="Times New Roman" w:hAnsi="Times New Roman"/>
          <w:sz w:val="28"/>
          <w:szCs w:val="28"/>
        </w:rPr>
        <w:t xml:space="preserve"> </w:t>
      </w:r>
      <w:r w:rsidRPr="00627015">
        <w:rPr>
          <w:rFonts w:ascii="Times New Roman" w:hAnsi="Times New Roman"/>
          <w:sz w:val="28"/>
          <w:szCs w:val="28"/>
        </w:rPr>
        <w:t xml:space="preserve">Иных социальных выплат было выплачено 4409,65 тыс.руб. </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На больничном листе находились 181 работник – общий период 2890 календарных дней.</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Заработная плата на предприятии в течение года выплачивалась вовремя без задержек. Экономия фонда заработной платы с учетом льготных отпусков составила 4615 тыс. руб. Средняя зар</w:t>
      </w:r>
      <w:r>
        <w:rPr>
          <w:rFonts w:ascii="Times New Roman" w:hAnsi="Times New Roman"/>
          <w:sz w:val="28"/>
          <w:szCs w:val="28"/>
        </w:rPr>
        <w:t xml:space="preserve">плата на предприятии составила </w:t>
      </w:r>
      <w:r w:rsidRPr="00627015">
        <w:rPr>
          <w:rFonts w:ascii="Times New Roman" w:hAnsi="Times New Roman"/>
          <w:sz w:val="28"/>
          <w:szCs w:val="28"/>
        </w:rPr>
        <w:t>39,509 тыс.</w:t>
      </w:r>
      <w:r>
        <w:rPr>
          <w:rFonts w:ascii="Times New Roman" w:hAnsi="Times New Roman"/>
          <w:sz w:val="28"/>
          <w:szCs w:val="28"/>
        </w:rPr>
        <w:t xml:space="preserve"> </w:t>
      </w:r>
      <w:r w:rsidRPr="00627015">
        <w:rPr>
          <w:rFonts w:ascii="Times New Roman" w:hAnsi="Times New Roman"/>
          <w:sz w:val="28"/>
          <w:szCs w:val="28"/>
        </w:rPr>
        <w:t>руб. Доход на 1 работника составил 42,498 тыс.</w:t>
      </w:r>
      <w:r>
        <w:rPr>
          <w:rFonts w:ascii="Times New Roman" w:hAnsi="Times New Roman"/>
          <w:sz w:val="28"/>
          <w:szCs w:val="28"/>
        </w:rPr>
        <w:t xml:space="preserve"> </w:t>
      </w:r>
      <w:r w:rsidRPr="00627015">
        <w:rPr>
          <w:rFonts w:ascii="Times New Roman" w:hAnsi="Times New Roman"/>
          <w:sz w:val="28"/>
          <w:szCs w:val="28"/>
        </w:rPr>
        <w:t>руб.</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За прошедший период проведено одно общее собрание коллектива,5 заседаний совета трудового коллектива,</w:t>
      </w:r>
      <w:r>
        <w:rPr>
          <w:rFonts w:ascii="Times New Roman" w:hAnsi="Times New Roman"/>
          <w:sz w:val="28"/>
          <w:szCs w:val="28"/>
        </w:rPr>
        <w:t xml:space="preserve"> </w:t>
      </w:r>
      <w:r w:rsidRPr="00627015">
        <w:rPr>
          <w:rFonts w:ascii="Times New Roman" w:hAnsi="Times New Roman"/>
          <w:sz w:val="28"/>
          <w:szCs w:val="28"/>
        </w:rPr>
        <w:t>2 заседания комиссии по трудовым спорам. Рассмотрено всего вопросов 19.</w:t>
      </w:r>
      <w:r>
        <w:rPr>
          <w:rFonts w:ascii="Times New Roman" w:hAnsi="Times New Roman"/>
          <w:sz w:val="28"/>
          <w:szCs w:val="28"/>
        </w:rPr>
        <w:t xml:space="preserve"> </w:t>
      </w:r>
      <w:r w:rsidRPr="00627015">
        <w:rPr>
          <w:rFonts w:ascii="Times New Roman" w:hAnsi="Times New Roman"/>
          <w:sz w:val="28"/>
          <w:szCs w:val="28"/>
        </w:rPr>
        <w:t>Принятие положительных решений – 100%.</w:t>
      </w:r>
    </w:p>
    <w:p w:rsidR="00EC1104" w:rsidRPr="00627015" w:rsidRDefault="00EC1104" w:rsidP="00AD3F71">
      <w:pPr>
        <w:pStyle w:val="BodyText"/>
        <w:ind w:firstLine="550"/>
        <w:jc w:val="both"/>
        <w:rPr>
          <w:sz w:val="28"/>
          <w:szCs w:val="28"/>
        </w:rPr>
      </w:pPr>
      <w:r>
        <w:rPr>
          <w:sz w:val="28"/>
          <w:szCs w:val="28"/>
        </w:rPr>
        <w:tab/>
      </w:r>
      <w:r w:rsidRPr="00627015">
        <w:rPr>
          <w:sz w:val="28"/>
          <w:szCs w:val="28"/>
        </w:rPr>
        <w:t>Заключен договор коллективного страхования рабочих и служащих от несчастных случаев за счет средств предприятий договор №2600930714 от 25 декабря 2014</w:t>
      </w:r>
      <w:r>
        <w:rPr>
          <w:sz w:val="28"/>
          <w:szCs w:val="28"/>
        </w:rPr>
        <w:t xml:space="preserve"> </w:t>
      </w:r>
      <w:r w:rsidRPr="00627015">
        <w:rPr>
          <w:sz w:val="28"/>
          <w:szCs w:val="28"/>
        </w:rPr>
        <w:t>г. с ООО «Страховая компания «Росгосстрах-Жизнь»  страховая премия составляет по 50 000 (тридцать тысяч рублей).</w:t>
      </w:r>
    </w:p>
    <w:p w:rsidR="00EC1104" w:rsidRPr="00AD3F71" w:rsidRDefault="00EC1104" w:rsidP="00AD3F71">
      <w:pPr>
        <w:pStyle w:val="BodyText"/>
        <w:ind w:firstLine="550"/>
        <w:jc w:val="both"/>
        <w:rPr>
          <w:bCs/>
          <w:iCs/>
          <w:sz w:val="28"/>
          <w:szCs w:val="28"/>
        </w:rPr>
      </w:pPr>
      <w:r w:rsidRPr="00627015">
        <w:rPr>
          <w:sz w:val="28"/>
          <w:szCs w:val="28"/>
        </w:rPr>
        <w:t xml:space="preserve"> </w:t>
      </w:r>
      <w:r w:rsidRPr="00627015">
        <w:rPr>
          <w:bCs/>
          <w:iCs/>
          <w:sz w:val="28"/>
          <w:szCs w:val="28"/>
        </w:rPr>
        <w:t xml:space="preserve">  </w:t>
      </w:r>
      <w:r w:rsidRPr="00AD3F71">
        <w:rPr>
          <w:bCs/>
          <w:iCs/>
          <w:sz w:val="28"/>
          <w:szCs w:val="28"/>
        </w:rPr>
        <w:t>За отчетный период (2015год) на предприятии несчастных случаев не произошло.</w:t>
      </w:r>
    </w:p>
    <w:p w:rsidR="00EC1104" w:rsidRPr="00AD3F71" w:rsidRDefault="00EC1104" w:rsidP="00AD3F71">
      <w:pPr>
        <w:spacing w:after="0" w:line="240" w:lineRule="auto"/>
        <w:ind w:firstLine="550"/>
        <w:jc w:val="both"/>
        <w:rPr>
          <w:sz w:val="28"/>
          <w:szCs w:val="28"/>
        </w:rPr>
      </w:pPr>
      <w:r w:rsidRPr="00627015">
        <w:rPr>
          <w:sz w:val="28"/>
          <w:szCs w:val="28"/>
        </w:rPr>
        <w:t xml:space="preserve">    </w:t>
      </w:r>
      <w:r w:rsidRPr="00627015">
        <w:rPr>
          <w:rFonts w:ascii="Times New Roman" w:hAnsi="Times New Roman"/>
          <w:sz w:val="28"/>
          <w:szCs w:val="28"/>
        </w:rPr>
        <w:t xml:space="preserve">Согласно </w:t>
      </w:r>
      <w:r>
        <w:rPr>
          <w:rFonts w:ascii="Times New Roman" w:hAnsi="Times New Roman"/>
          <w:sz w:val="28"/>
          <w:szCs w:val="28"/>
        </w:rPr>
        <w:t>коллективному договору</w:t>
      </w:r>
      <w:r w:rsidRPr="00627015">
        <w:rPr>
          <w:rFonts w:ascii="Times New Roman" w:hAnsi="Times New Roman"/>
          <w:sz w:val="28"/>
          <w:szCs w:val="28"/>
        </w:rPr>
        <w:t xml:space="preserve"> в 2015 году проведены обязательные медицинские осмотры на сумму </w:t>
      </w:r>
      <w:r w:rsidRPr="00AD3F71">
        <w:rPr>
          <w:rFonts w:ascii="Times New Roman" w:hAnsi="Times New Roman"/>
          <w:sz w:val="28"/>
          <w:szCs w:val="28"/>
        </w:rPr>
        <w:t>300 000-00 руб.</w:t>
      </w:r>
    </w:p>
    <w:p w:rsidR="00EC1104" w:rsidRPr="00AD3F71"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Предрейсовые осмотры водителей на сумму</w:t>
      </w:r>
      <w:r w:rsidRPr="00627015">
        <w:rPr>
          <w:rFonts w:ascii="Times New Roman" w:hAnsi="Times New Roman"/>
          <w:b/>
          <w:sz w:val="28"/>
          <w:szCs w:val="28"/>
        </w:rPr>
        <w:t xml:space="preserve"> </w:t>
      </w:r>
      <w:r w:rsidRPr="00AD3F71">
        <w:rPr>
          <w:rFonts w:ascii="Times New Roman" w:hAnsi="Times New Roman"/>
          <w:sz w:val="28"/>
          <w:szCs w:val="28"/>
        </w:rPr>
        <w:t>45 000-00 руб.</w:t>
      </w:r>
    </w:p>
    <w:p w:rsidR="00EC1104" w:rsidRPr="00627015" w:rsidRDefault="00EC1104" w:rsidP="00AD3F71">
      <w:pPr>
        <w:pStyle w:val="NoSpacing"/>
        <w:ind w:firstLine="550"/>
        <w:jc w:val="both"/>
        <w:rPr>
          <w:rFonts w:ascii="Times New Roman" w:hAnsi="Times New Roman"/>
          <w:sz w:val="28"/>
          <w:szCs w:val="28"/>
          <w:lang w:eastAsia="ru-RU"/>
        </w:rPr>
      </w:pPr>
      <w:r>
        <w:rPr>
          <w:rFonts w:ascii="Times New Roman" w:hAnsi="Times New Roman"/>
          <w:sz w:val="28"/>
          <w:szCs w:val="28"/>
          <w:lang w:eastAsia="ru-RU"/>
        </w:rPr>
        <w:tab/>
      </w:r>
      <w:r w:rsidRPr="00627015">
        <w:rPr>
          <w:rFonts w:ascii="Times New Roman" w:hAnsi="Times New Roman"/>
          <w:sz w:val="28"/>
          <w:szCs w:val="28"/>
          <w:lang w:eastAsia="ru-RU"/>
        </w:rPr>
        <w:t>На предприятии Обществом с ограниченной ответственностью «Томский областной центр охраны труда, проведена специальная оценка условий труда (аттестация рабочих мест).</w:t>
      </w:r>
      <w:r>
        <w:rPr>
          <w:rFonts w:ascii="Times New Roman" w:hAnsi="Times New Roman"/>
          <w:sz w:val="28"/>
          <w:szCs w:val="28"/>
          <w:lang w:eastAsia="ru-RU"/>
        </w:rPr>
        <w:t xml:space="preserve"> Оплачено 255 600-</w:t>
      </w:r>
      <w:r w:rsidRPr="00627015">
        <w:rPr>
          <w:rFonts w:ascii="Times New Roman" w:hAnsi="Times New Roman"/>
          <w:sz w:val="28"/>
          <w:szCs w:val="28"/>
          <w:lang w:eastAsia="ru-RU"/>
        </w:rPr>
        <w:t>00 руб. Аттестовано 136 рабочих места.</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В соответствии со статьей 222 Трудового кодекса Российской Федерации работникам</w:t>
      </w:r>
      <w:r>
        <w:rPr>
          <w:rFonts w:ascii="Times New Roman" w:hAnsi="Times New Roman"/>
          <w:sz w:val="28"/>
          <w:szCs w:val="28"/>
        </w:rPr>
        <w:t>,</w:t>
      </w:r>
      <w:r w:rsidRPr="00627015">
        <w:rPr>
          <w:rFonts w:ascii="Times New Roman" w:hAnsi="Times New Roman"/>
          <w:sz w:val="28"/>
          <w:szCs w:val="28"/>
        </w:rPr>
        <w:t xml:space="preserve"> занятым на работах с вредными условиями труда на предприятии</w:t>
      </w:r>
      <w:r>
        <w:rPr>
          <w:rFonts w:ascii="Times New Roman" w:hAnsi="Times New Roman"/>
          <w:sz w:val="28"/>
          <w:szCs w:val="28"/>
        </w:rPr>
        <w:t>,</w:t>
      </w:r>
      <w:r w:rsidRPr="00627015">
        <w:rPr>
          <w:rFonts w:ascii="Times New Roman" w:hAnsi="Times New Roman"/>
          <w:sz w:val="28"/>
          <w:szCs w:val="28"/>
        </w:rPr>
        <w:t xml:space="preserve"> производится выдача молока, так же производятся компенсационные выплаты эквивалентные стоимости молока (согласно заявлений от работников предприятия занятых на вредных работах).  </w:t>
      </w:r>
    </w:p>
    <w:p w:rsidR="00EC1104" w:rsidRPr="00AD3F71"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 xml:space="preserve">Сумма затрат на молоко за 2015 год составила </w:t>
      </w:r>
      <w:r w:rsidRPr="00AD3F71">
        <w:rPr>
          <w:rFonts w:ascii="Times New Roman" w:hAnsi="Times New Roman"/>
          <w:sz w:val="28"/>
          <w:szCs w:val="28"/>
        </w:rPr>
        <w:t xml:space="preserve">249 296-00 руб. </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На обучение в 2015 го</w:t>
      </w:r>
      <w:r>
        <w:rPr>
          <w:rFonts w:ascii="Times New Roman" w:hAnsi="Times New Roman"/>
          <w:sz w:val="28"/>
          <w:szCs w:val="28"/>
        </w:rPr>
        <w:t>ду было затрачено 150 000-</w:t>
      </w:r>
      <w:r w:rsidRPr="00627015">
        <w:rPr>
          <w:rFonts w:ascii="Times New Roman" w:hAnsi="Times New Roman"/>
          <w:sz w:val="28"/>
          <w:szCs w:val="28"/>
        </w:rPr>
        <w:t>00 руб. На чистящее, моющее и смывающие средс</w:t>
      </w:r>
      <w:r>
        <w:rPr>
          <w:rFonts w:ascii="Times New Roman" w:hAnsi="Times New Roman"/>
          <w:sz w:val="28"/>
          <w:szCs w:val="28"/>
        </w:rPr>
        <w:t>тва 2015 году было затрачено 87 000-</w:t>
      </w:r>
      <w:r w:rsidRPr="00627015">
        <w:rPr>
          <w:rFonts w:ascii="Times New Roman" w:hAnsi="Times New Roman"/>
          <w:sz w:val="28"/>
          <w:szCs w:val="28"/>
        </w:rPr>
        <w:t>00 руб.  Приобретение спец.одежды для работников предприятия 590 000 - 00 руб.</w:t>
      </w:r>
    </w:p>
    <w:p w:rsidR="00EC1104" w:rsidRPr="00AD3F71" w:rsidRDefault="00EC1104" w:rsidP="00AD3F71">
      <w:pPr>
        <w:spacing w:after="0" w:line="240" w:lineRule="auto"/>
        <w:ind w:firstLine="550"/>
        <w:jc w:val="both"/>
        <w:rPr>
          <w:rFonts w:ascii="Times New Roman" w:hAnsi="Times New Roman"/>
          <w:sz w:val="28"/>
          <w:szCs w:val="28"/>
        </w:rPr>
      </w:pPr>
      <w:r>
        <w:rPr>
          <w:rFonts w:ascii="Times New Roman" w:hAnsi="Times New Roman"/>
          <w:b/>
          <w:sz w:val="28"/>
          <w:szCs w:val="28"/>
        </w:rPr>
        <w:tab/>
      </w:r>
      <w:r w:rsidRPr="00AD3F71">
        <w:rPr>
          <w:rFonts w:ascii="Times New Roman" w:hAnsi="Times New Roman"/>
          <w:sz w:val="28"/>
          <w:szCs w:val="28"/>
        </w:rPr>
        <w:t>Общая сумма затрат на охрану труда 1 676 896 руб.</w:t>
      </w:r>
    </w:p>
    <w:p w:rsidR="00EC1104" w:rsidRPr="00AD3F71" w:rsidRDefault="00EC1104" w:rsidP="00AD3F71">
      <w:pPr>
        <w:spacing w:after="0" w:line="240" w:lineRule="auto"/>
        <w:ind w:firstLine="550"/>
        <w:jc w:val="both"/>
        <w:rPr>
          <w:rFonts w:ascii="Times New Roman" w:hAnsi="Times New Roman"/>
          <w:sz w:val="28"/>
          <w:szCs w:val="28"/>
        </w:rPr>
      </w:pPr>
      <w:r w:rsidRPr="00AD3F71">
        <w:rPr>
          <w:rFonts w:ascii="Times New Roman" w:hAnsi="Times New Roman"/>
          <w:sz w:val="28"/>
          <w:szCs w:val="28"/>
        </w:rPr>
        <w:tab/>
        <w:t>Охрана окружающей среды на предприятии.</w:t>
      </w:r>
    </w:p>
    <w:p w:rsidR="00EC1104" w:rsidRPr="00AD3F71"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 xml:space="preserve">В хозяйственном ведении УП «РТС» города Радужный находится </w:t>
      </w:r>
      <w:r w:rsidRPr="00AD3F71">
        <w:rPr>
          <w:rFonts w:ascii="Times New Roman" w:hAnsi="Times New Roman"/>
          <w:sz w:val="28"/>
          <w:szCs w:val="28"/>
        </w:rPr>
        <w:t>4 котельных</w:t>
      </w:r>
      <w:r w:rsidRPr="00627015">
        <w:rPr>
          <w:rFonts w:ascii="Times New Roman" w:hAnsi="Times New Roman"/>
          <w:sz w:val="28"/>
          <w:szCs w:val="28"/>
        </w:rPr>
        <w:t xml:space="preserve">, в качестве основного топлива на городских котельных используется попутный нефтяной газ. Определена категория предприятия по воздействию его выбросов на атмосферный воздух – </w:t>
      </w:r>
      <w:r w:rsidRPr="00AD3F71">
        <w:rPr>
          <w:rFonts w:ascii="Times New Roman" w:hAnsi="Times New Roman"/>
          <w:sz w:val="28"/>
          <w:szCs w:val="28"/>
        </w:rPr>
        <w:t xml:space="preserve">УП «РТС» города Радужный является предприятием 3 категории. </w:t>
      </w:r>
    </w:p>
    <w:p w:rsidR="00EC1104" w:rsidRPr="00627015" w:rsidRDefault="00EC1104" w:rsidP="00FC4B2C">
      <w:pPr>
        <w:tabs>
          <w:tab w:val="left" w:pos="880"/>
        </w:tabs>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В атмосферу от источников предприятия поступают загрязняющие вещества (15 загрязняющих веществ, в том числе 7 газообразных и жидких, и 8 твердых. Подлежат нормированию 11 загрязняющих веществ). Для необходимости экологической оценки воздействия объектов предприятия на окружающую природную среду и определения нормативов выбросов загрязняющих веществ в атмосферу, в соответствии с Законом РФ «Об охране окружающей среды», на предприятии разработан проект Нормативов предельно допустимых выбросов загрязняющих веществ в атмосферу. Результаты расчетов подтверждают соблюдение действующих гигиенических стандартов качества атмосферного воздуха по всем вредным веществам, выбрасы</w:t>
      </w:r>
      <w:r>
        <w:rPr>
          <w:rFonts w:ascii="Times New Roman" w:hAnsi="Times New Roman"/>
          <w:sz w:val="28"/>
          <w:szCs w:val="28"/>
        </w:rPr>
        <w:t xml:space="preserve">ваемых источниками предприятия. </w:t>
      </w:r>
      <w:r w:rsidRPr="00627015">
        <w:rPr>
          <w:rFonts w:ascii="Times New Roman" w:hAnsi="Times New Roman"/>
          <w:sz w:val="28"/>
          <w:szCs w:val="28"/>
        </w:rPr>
        <w:t xml:space="preserve">Также разработан план мероприятий по кратковременному регулированию выбросов в атмосферу на предприятии в периоды неблагоприятных метеорологических условий (НМУ). </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Разработан план-график контроля за соблюдением установленных нормативов ПДВ (ВСВ) для всех источников предприятия, исходя из категории источников выбросов в разрезе загрязняющих веществ, предусматривающий контроль непосредственно на источниках, и на точках в ближайших жилых зонах за содержанием вредных веществ в атмосферном воздухе.</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 xml:space="preserve">Заключен договор с Центром лабораторного анализа и технических измерений по УФО по ХМАО (Нижневартовский филиал) для проведения анализа и измерений на промышленные выбросы (превышений нет). Работы </w:t>
      </w:r>
      <w:r>
        <w:rPr>
          <w:rFonts w:ascii="Times New Roman" w:hAnsi="Times New Roman"/>
          <w:sz w:val="28"/>
          <w:szCs w:val="28"/>
        </w:rPr>
        <w:t>проводятся согласно календарному</w:t>
      </w:r>
      <w:r w:rsidRPr="00627015">
        <w:rPr>
          <w:rFonts w:ascii="Times New Roman" w:hAnsi="Times New Roman"/>
          <w:sz w:val="28"/>
          <w:szCs w:val="28"/>
        </w:rPr>
        <w:t xml:space="preserve"> план</w:t>
      </w:r>
      <w:r>
        <w:rPr>
          <w:rFonts w:ascii="Times New Roman" w:hAnsi="Times New Roman"/>
          <w:sz w:val="28"/>
          <w:szCs w:val="28"/>
        </w:rPr>
        <w:t>у</w:t>
      </w:r>
      <w:r w:rsidRPr="00627015">
        <w:rPr>
          <w:rFonts w:ascii="Times New Roman" w:hAnsi="Times New Roman"/>
          <w:sz w:val="28"/>
          <w:szCs w:val="28"/>
        </w:rPr>
        <w:t>.</w:t>
      </w:r>
    </w:p>
    <w:p w:rsidR="00EC1104" w:rsidRPr="00AD3F71" w:rsidRDefault="00EC1104" w:rsidP="00FC4B2C">
      <w:pPr>
        <w:tabs>
          <w:tab w:val="left" w:pos="880"/>
        </w:tabs>
        <w:spacing w:after="0" w:line="240" w:lineRule="auto"/>
        <w:ind w:firstLine="550"/>
        <w:jc w:val="both"/>
        <w:rPr>
          <w:rFonts w:ascii="Times New Roman" w:hAnsi="Times New Roman"/>
          <w:sz w:val="28"/>
          <w:szCs w:val="28"/>
        </w:rPr>
      </w:pPr>
      <w:r>
        <w:rPr>
          <w:rFonts w:ascii="Times New Roman" w:hAnsi="Times New Roman"/>
          <w:b/>
          <w:sz w:val="28"/>
          <w:szCs w:val="28"/>
        </w:rPr>
        <w:tab/>
      </w:r>
      <w:r w:rsidRPr="00AD3F71">
        <w:rPr>
          <w:rFonts w:ascii="Times New Roman" w:hAnsi="Times New Roman"/>
          <w:sz w:val="28"/>
          <w:szCs w:val="28"/>
        </w:rPr>
        <w:t xml:space="preserve">Своевременно осуществляется плата за негативное воздействие на окружающую среду (ОС). </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 xml:space="preserve">Также на предприятии разработан Проект нормативов образования отходов и лимитов на их размещение, который устанавливает лимиты размещения отходов для предприятия с целью охраны окружающей среды от загрязнения отходами производства и потребления. Проект разработан на основании ФЗ РФ «Об отходах производства и потребления» от 24 июня 1998 №89-ФЗ. </w:t>
      </w:r>
    </w:p>
    <w:p w:rsidR="00EC1104" w:rsidRPr="00627015"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627015">
        <w:rPr>
          <w:rFonts w:ascii="Times New Roman" w:hAnsi="Times New Roman"/>
          <w:sz w:val="28"/>
          <w:szCs w:val="28"/>
        </w:rPr>
        <w:t>В целях снижения влияния отходов на состояние окружающей природной среды  проводятся природоохранные мероприятия.</w:t>
      </w:r>
    </w:p>
    <w:p w:rsidR="00EC1104" w:rsidRDefault="00EC1104" w:rsidP="00AD3F71">
      <w:pPr>
        <w:spacing w:after="0" w:line="240" w:lineRule="auto"/>
        <w:ind w:firstLine="550"/>
        <w:jc w:val="both"/>
        <w:rPr>
          <w:rFonts w:ascii="Times New Roman" w:hAnsi="Times New Roman"/>
          <w:sz w:val="28"/>
          <w:szCs w:val="28"/>
        </w:rPr>
      </w:pPr>
      <w:r>
        <w:rPr>
          <w:rFonts w:ascii="Times New Roman" w:hAnsi="Times New Roman"/>
          <w:sz w:val="28"/>
          <w:szCs w:val="28"/>
        </w:rPr>
        <w:tab/>
      </w:r>
      <w:r w:rsidRPr="00AD3F71">
        <w:rPr>
          <w:rFonts w:ascii="Times New Roman" w:hAnsi="Times New Roman"/>
          <w:sz w:val="28"/>
          <w:szCs w:val="28"/>
        </w:rPr>
        <w:t>УП «РТС» города Радужный не имеет на своем балансе и не осуществляет эксплуатацию объектов захоронения или длительного хранения отходов (полигонов, шламохранилищ, золоотвалов и т.д.) Предприятие не ведет прием отходов, от сторонних организаций с целью обезвреживания, использования, захоронения и хранения.</w:t>
      </w:r>
    </w:p>
    <w:p w:rsidR="00EC1104" w:rsidRDefault="00EC1104" w:rsidP="00AD3F71">
      <w:pPr>
        <w:spacing w:after="0" w:line="240" w:lineRule="auto"/>
        <w:ind w:firstLine="550"/>
        <w:jc w:val="both"/>
        <w:rPr>
          <w:rFonts w:ascii="Times New Roman" w:hAnsi="Times New Roman"/>
          <w:sz w:val="28"/>
          <w:szCs w:val="28"/>
        </w:rPr>
      </w:pPr>
    </w:p>
    <w:p w:rsidR="00EC1104" w:rsidRDefault="00EC1104" w:rsidP="00AD3F71">
      <w:pPr>
        <w:spacing w:after="0" w:line="240" w:lineRule="auto"/>
        <w:ind w:firstLine="550"/>
        <w:jc w:val="both"/>
        <w:rPr>
          <w:rFonts w:ascii="Times New Roman" w:hAnsi="Times New Roman"/>
          <w:sz w:val="28"/>
          <w:szCs w:val="28"/>
        </w:rPr>
      </w:pPr>
    </w:p>
    <w:p w:rsidR="00EC1104" w:rsidRPr="00AD3F71" w:rsidRDefault="00EC1104" w:rsidP="00AD3F71">
      <w:pPr>
        <w:tabs>
          <w:tab w:val="left" w:pos="3825"/>
        </w:tabs>
        <w:jc w:val="center"/>
        <w:rPr>
          <w:rFonts w:ascii="Times New Roman" w:hAnsi="Times New Roman"/>
          <w:sz w:val="28"/>
          <w:szCs w:val="28"/>
        </w:rPr>
      </w:pPr>
      <w:r>
        <w:rPr>
          <w:rFonts w:ascii="Times New Roman" w:hAnsi="Times New Roman"/>
          <w:sz w:val="28"/>
          <w:szCs w:val="28"/>
        </w:rPr>
        <w:t>___________________</w:t>
      </w:r>
    </w:p>
    <w:sectPr w:rsidR="00EC1104" w:rsidRPr="00AD3F71" w:rsidSect="00AD3F7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BCA"/>
    <w:multiLevelType w:val="hybridMultilevel"/>
    <w:tmpl w:val="4E64AA72"/>
    <w:lvl w:ilvl="0" w:tplc="4A2A933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183D0F6C"/>
    <w:multiLevelType w:val="hybridMultilevel"/>
    <w:tmpl w:val="20C44F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F4E2546"/>
    <w:multiLevelType w:val="hybridMultilevel"/>
    <w:tmpl w:val="4A2CD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D50"/>
    <w:rsid w:val="00027949"/>
    <w:rsid w:val="00036172"/>
    <w:rsid w:val="0008061D"/>
    <w:rsid w:val="000955CC"/>
    <w:rsid w:val="00096F97"/>
    <w:rsid w:val="000A61C0"/>
    <w:rsid w:val="000C41BF"/>
    <w:rsid w:val="000F4774"/>
    <w:rsid w:val="000F7DBE"/>
    <w:rsid w:val="00100B74"/>
    <w:rsid w:val="00124A04"/>
    <w:rsid w:val="001319C9"/>
    <w:rsid w:val="00161D50"/>
    <w:rsid w:val="001A3890"/>
    <w:rsid w:val="001B0B01"/>
    <w:rsid w:val="001B5C98"/>
    <w:rsid w:val="00285096"/>
    <w:rsid w:val="0029267B"/>
    <w:rsid w:val="00310273"/>
    <w:rsid w:val="003142D8"/>
    <w:rsid w:val="003161BE"/>
    <w:rsid w:val="00317B2E"/>
    <w:rsid w:val="00362C6C"/>
    <w:rsid w:val="00392A5D"/>
    <w:rsid w:val="003A1E63"/>
    <w:rsid w:val="003B07F0"/>
    <w:rsid w:val="003B2F10"/>
    <w:rsid w:val="00400764"/>
    <w:rsid w:val="004106E1"/>
    <w:rsid w:val="00453B00"/>
    <w:rsid w:val="00471FC2"/>
    <w:rsid w:val="00480F0D"/>
    <w:rsid w:val="00495FB5"/>
    <w:rsid w:val="004A5CCB"/>
    <w:rsid w:val="004C0E72"/>
    <w:rsid w:val="004C7455"/>
    <w:rsid w:val="004E7FE0"/>
    <w:rsid w:val="00516F6A"/>
    <w:rsid w:val="0054150A"/>
    <w:rsid w:val="005454A0"/>
    <w:rsid w:val="0055094E"/>
    <w:rsid w:val="00581018"/>
    <w:rsid w:val="00581386"/>
    <w:rsid w:val="00595D82"/>
    <w:rsid w:val="005A36E3"/>
    <w:rsid w:val="005B7F1A"/>
    <w:rsid w:val="005D33EE"/>
    <w:rsid w:val="005E3D73"/>
    <w:rsid w:val="005E5D3C"/>
    <w:rsid w:val="00607E3E"/>
    <w:rsid w:val="00627015"/>
    <w:rsid w:val="00632A3B"/>
    <w:rsid w:val="00652401"/>
    <w:rsid w:val="00676E2C"/>
    <w:rsid w:val="00681DA9"/>
    <w:rsid w:val="00690B8C"/>
    <w:rsid w:val="006A201F"/>
    <w:rsid w:val="006A7A98"/>
    <w:rsid w:val="006C0FE6"/>
    <w:rsid w:val="00733454"/>
    <w:rsid w:val="00736C8B"/>
    <w:rsid w:val="00736D78"/>
    <w:rsid w:val="00743159"/>
    <w:rsid w:val="00760226"/>
    <w:rsid w:val="00775793"/>
    <w:rsid w:val="007D0BE6"/>
    <w:rsid w:val="008574F1"/>
    <w:rsid w:val="00863E4A"/>
    <w:rsid w:val="00883AA7"/>
    <w:rsid w:val="008872F9"/>
    <w:rsid w:val="008A28E8"/>
    <w:rsid w:val="008A73B4"/>
    <w:rsid w:val="008B3E80"/>
    <w:rsid w:val="008B5FD6"/>
    <w:rsid w:val="008C28BA"/>
    <w:rsid w:val="008F2923"/>
    <w:rsid w:val="00925A32"/>
    <w:rsid w:val="0093205E"/>
    <w:rsid w:val="009338F3"/>
    <w:rsid w:val="00974682"/>
    <w:rsid w:val="00A70A51"/>
    <w:rsid w:val="00A8669A"/>
    <w:rsid w:val="00A94321"/>
    <w:rsid w:val="00AB0FDB"/>
    <w:rsid w:val="00AB7939"/>
    <w:rsid w:val="00AD12BD"/>
    <w:rsid w:val="00AD3F71"/>
    <w:rsid w:val="00AE1139"/>
    <w:rsid w:val="00B35443"/>
    <w:rsid w:val="00B539A3"/>
    <w:rsid w:val="00B7186F"/>
    <w:rsid w:val="00B8795F"/>
    <w:rsid w:val="00B93B00"/>
    <w:rsid w:val="00B94CAE"/>
    <w:rsid w:val="00C34651"/>
    <w:rsid w:val="00C549BC"/>
    <w:rsid w:val="00C57458"/>
    <w:rsid w:val="00C75B5A"/>
    <w:rsid w:val="00C81C09"/>
    <w:rsid w:val="00C84B38"/>
    <w:rsid w:val="00C912BC"/>
    <w:rsid w:val="00D02D9B"/>
    <w:rsid w:val="00D2348C"/>
    <w:rsid w:val="00D64AFE"/>
    <w:rsid w:val="00D704B6"/>
    <w:rsid w:val="00D82735"/>
    <w:rsid w:val="00DC3DE6"/>
    <w:rsid w:val="00DF28E0"/>
    <w:rsid w:val="00DF49F4"/>
    <w:rsid w:val="00E35443"/>
    <w:rsid w:val="00E41B0E"/>
    <w:rsid w:val="00E46E04"/>
    <w:rsid w:val="00E50164"/>
    <w:rsid w:val="00E74665"/>
    <w:rsid w:val="00E8593C"/>
    <w:rsid w:val="00EB5787"/>
    <w:rsid w:val="00EC1104"/>
    <w:rsid w:val="00ED2C13"/>
    <w:rsid w:val="00F21E64"/>
    <w:rsid w:val="00F300F0"/>
    <w:rsid w:val="00F349C1"/>
    <w:rsid w:val="00F45238"/>
    <w:rsid w:val="00F5724D"/>
    <w:rsid w:val="00F62662"/>
    <w:rsid w:val="00F84BA4"/>
    <w:rsid w:val="00F863E2"/>
    <w:rsid w:val="00F910C3"/>
    <w:rsid w:val="00FC4B2C"/>
    <w:rsid w:val="00FE324E"/>
    <w:rsid w:val="00FF00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74665"/>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ED2C13"/>
    <w:pPr>
      <w:ind w:left="720"/>
      <w:contextualSpacing/>
    </w:pPr>
    <w:rPr>
      <w:rFonts w:eastAsia="Times New Roman"/>
      <w:lang w:eastAsia="ru-RU"/>
    </w:rPr>
  </w:style>
  <w:style w:type="paragraph" w:styleId="BodyText">
    <w:name w:val="Body Text"/>
    <w:basedOn w:val="Normal"/>
    <w:link w:val="BodyTextChar"/>
    <w:uiPriority w:val="99"/>
    <w:rsid w:val="00124A04"/>
    <w:pPr>
      <w:spacing w:after="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124A04"/>
    <w:rPr>
      <w:rFonts w:ascii="Times New Roman" w:hAnsi="Times New Roman" w:cs="Times New Roman"/>
      <w:sz w:val="24"/>
      <w:szCs w:val="24"/>
      <w:lang w:eastAsia="ru-RU"/>
    </w:rPr>
  </w:style>
  <w:style w:type="paragraph" w:styleId="NoSpacing">
    <w:name w:val="No Spacing"/>
    <w:uiPriority w:val="99"/>
    <w:qFormat/>
    <w:rsid w:val="00124A04"/>
    <w:rPr>
      <w:lang w:eastAsia="en-US"/>
    </w:rPr>
  </w:style>
  <w:style w:type="table" w:styleId="TableGrid">
    <w:name w:val="Table Grid"/>
    <w:basedOn w:val="TableNormal"/>
    <w:uiPriority w:val="99"/>
    <w:rsid w:val="00495F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1109</TotalTime>
  <Pages>10</Pages>
  <Words>3498</Words>
  <Characters>19941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Duma2</cp:lastModifiedBy>
  <cp:revision>51</cp:revision>
  <cp:lastPrinted>2016-03-22T09:28:00Z</cp:lastPrinted>
  <dcterms:created xsi:type="dcterms:W3CDTF">2016-03-20T15:57:00Z</dcterms:created>
  <dcterms:modified xsi:type="dcterms:W3CDTF">2016-03-31T10:29:00Z</dcterms:modified>
</cp:coreProperties>
</file>