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44" w:rsidRDefault="00734344" w:rsidP="00734344">
      <w:pPr>
        <w:autoSpaceDE w:val="0"/>
        <w:autoSpaceDN w:val="0"/>
        <w:adjustRightInd w:val="0"/>
        <w:ind w:firstLine="56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</w:t>
      </w:r>
    </w:p>
    <w:p w:rsidR="00734344" w:rsidRDefault="00734344" w:rsidP="00734344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</w:p>
    <w:p w:rsidR="00734344" w:rsidRDefault="00734344" w:rsidP="00734344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Герб города Радужный</w:t>
      </w:r>
    </w:p>
    <w:p w:rsidR="00734344" w:rsidRDefault="00734344" w:rsidP="00734344">
      <w:pPr>
        <w:ind w:firstLine="567"/>
        <w:jc w:val="both"/>
        <w:rPr>
          <w:rFonts w:ascii="Arial" w:eastAsia="Calibri" w:hAnsi="Arial"/>
          <w:lang w:eastAsia="en-US"/>
        </w:rPr>
      </w:pPr>
    </w:p>
    <w:p w:rsidR="00734344" w:rsidRDefault="00734344" w:rsidP="00734344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Городской округ Радужный</w:t>
      </w:r>
    </w:p>
    <w:p w:rsidR="00734344" w:rsidRDefault="00734344" w:rsidP="00734344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734344" w:rsidRDefault="00734344" w:rsidP="00734344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734344" w:rsidRDefault="00734344" w:rsidP="00734344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ДУМА ГОРОДА РАДУЖНЫЙ</w:t>
      </w:r>
    </w:p>
    <w:p w:rsidR="00734344" w:rsidRDefault="00734344" w:rsidP="00734344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734344" w:rsidRDefault="00734344" w:rsidP="00734344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</w:t>
      </w:r>
    </w:p>
    <w:p w:rsidR="00734344" w:rsidRDefault="00734344" w:rsidP="00734344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734344" w:rsidRDefault="00734344" w:rsidP="00734344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____________ 2024 года</w:t>
      </w:r>
      <w:r>
        <w:rPr>
          <w:rFonts w:eastAsia="Calibri"/>
          <w:sz w:val="28"/>
          <w:szCs w:val="28"/>
          <w:lang w:eastAsia="en-US"/>
        </w:rPr>
        <w:tab/>
        <w:t>№ _____</w:t>
      </w:r>
    </w:p>
    <w:p w:rsidR="00734344" w:rsidRDefault="00734344" w:rsidP="00734344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734344" w:rsidRDefault="00734344" w:rsidP="0073434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Думы города Радужный</w:t>
      </w:r>
    </w:p>
    <w:p w:rsidR="00734344" w:rsidRDefault="00734344" w:rsidP="0073434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28.06.2012 № 287 «О Порядке управления и распоряжения имуществом, находящимся в муниципальной собственности города Радужный»</w:t>
      </w:r>
    </w:p>
    <w:p w:rsidR="00734344" w:rsidRDefault="00734344" w:rsidP="007343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4344" w:rsidRDefault="00734344" w:rsidP="00734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295, 299 Гражданского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>
        <w:rPr>
          <w:sz w:val="28"/>
          <w:szCs w:val="28"/>
        </w:rPr>
        <w:t xml:space="preserve"> Российской Федерации, пунктом 3 части 1 статьи 16 Федерального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пунктом 2 части 1 статьи 28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Устава</w:t>
        </w:r>
      </w:hyperlink>
      <w:r>
        <w:rPr>
          <w:sz w:val="28"/>
          <w:szCs w:val="28"/>
        </w:rPr>
        <w:t xml:space="preserve"> города Радужный, Дума города решила:</w:t>
      </w:r>
    </w:p>
    <w:p w:rsidR="00734344" w:rsidRDefault="00734344" w:rsidP="00734344">
      <w:pPr>
        <w:ind w:left="142" w:firstLine="709"/>
        <w:jc w:val="both"/>
        <w:rPr>
          <w:sz w:val="28"/>
          <w:szCs w:val="28"/>
        </w:rPr>
      </w:pPr>
    </w:p>
    <w:p w:rsidR="00734344" w:rsidRDefault="00734344" w:rsidP="0073434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в приложение к решению Думы города Радужный от 28.06.2012 № 287 «О Порядке управления и распоряжения имуществом, находящимся в муниципальной собственности города Радужный» следующие изменения: </w:t>
      </w:r>
    </w:p>
    <w:p w:rsidR="00734344" w:rsidRDefault="00734344" w:rsidP="0073434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Пункт 15 статьи 5 после слов «действующим законодательством» дополнить словами «</w:t>
      </w:r>
      <w:proofErr w:type="gramStart"/>
      <w:r>
        <w:rPr>
          <w:sz w:val="28"/>
          <w:szCs w:val="28"/>
          <w:lang w:eastAsia="en-US"/>
        </w:rPr>
        <w:t>,а</w:t>
      </w:r>
      <w:proofErr w:type="gramEnd"/>
      <w:r>
        <w:rPr>
          <w:sz w:val="28"/>
          <w:szCs w:val="28"/>
          <w:lang w:eastAsia="en-US"/>
        </w:rPr>
        <w:t xml:space="preserve"> также в случаях правомерного изъятия имущества у муниципального казенного предприятия, муниципального унитарного предприятиями, муниципального бюджетного, автономного и казенного учреждения по решению Комитета, принятому в соответствии с действующим законодательством Российской Федерации».</w:t>
      </w:r>
    </w:p>
    <w:p w:rsidR="00734344" w:rsidRDefault="00734344" w:rsidP="0073434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Пункт 1 статью 7 дополнить подпунктом 9 следующего содержания:</w:t>
      </w:r>
    </w:p>
    <w:p w:rsidR="00734344" w:rsidRDefault="00734344" w:rsidP="0073434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«9) имущество, изымаемое в порядке, установленном статьей 22 настоящего Порядка из хозяйственного ведения муниципального унитарного предприятия.».</w:t>
      </w:r>
    </w:p>
    <w:p w:rsidR="00734344" w:rsidRDefault="00734344" w:rsidP="0073434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Дополнить статьей 22 следующего содержания: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«Статья 22. Прекращение права хозяйственного ведения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хозяйственного ведения на имущество прекращается по общим основаниям и в порядке, предусмотренных законодательством Российской Федерации, а также в случаях правомерного изъятия имущества у муниципального унитарного предприятия по решению Комитета, принятому в соответствии с действующим законодательством Российской Федерации. 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исключения вида деятельности, предусмотренного Уставом муниципального унитарного предприятия имущество, используемое для его осуществления, изымается собственником. При таком изъятии, собственником может быть принято решение о компенсации стоимости такого имущества при одновременном наличии следующих условий: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0B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у муниципального унитарного предприятия </w:t>
      </w:r>
      <w:r w:rsidR="007640B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момент</w:t>
      </w:r>
      <w:r w:rsidR="007640BE">
        <w:rPr>
          <w:sz w:val="28"/>
          <w:szCs w:val="28"/>
        </w:rPr>
        <w:t>а</w:t>
      </w:r>
      <w:r>
        <w:rPr>
          <w:sz w:val="28"/>
          <w:szCs w:val="28"/>
        </w:rPr>
        <w:t xml:space="preserve"> изъятия задолженность по уплате налогов, сборов и страховых взносов в бюджеты бюджетной системы Российской Федерации, просроченной задолженности по возврату в бюджет города Радужный субсидий, бюджетных инвестиций,  а также иная просроченная (неурегулированная) задолженность по денежным обязательствам муниципального унитарного предприятия (далее – обязательные платежи);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если изымаемое имущество могло быть использовано муниципальным унитарным предприятием для погашения задолженности по обязательным платежам.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компенсации определяется по рыночной стоимости изымаемого имущества и не может быть более суммы общей задолженности по обязательным платежам и более рыночной стоимости изымаемого имущества.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Рыночная стоимость  определяется  в соответствии с Федеральным законом от 29.07.1998 № 135-ФЗ «Об оценочной деятельности в Российской Федерации», </w:t>
      </w:r>
      <w:r>
        <w:rPr>
          <w:color w:val="1A1A1A"/>
          <w:sz w:val="28"/>
          <w:szCs w:val="28"/>
        </w:rPr>
        <w:t>расходы по оценке стоимости имущества несет Комитет.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Изъятие имущества из хозяйственного ведения муниципального унитарного предприятия производится на основании приказа Комитета, принятого в форме приказа и акта приема-передачи недвижимого имущества.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соглашения с приложением материалов оценки </w:t>
      </w:r>
      <w:r>
        <w:rPr>
          <w:color w:val="1A1A1A"/>
          <w:sz w:val="28"/>
          <w:szCs w:val="28"/>
        </w:rPr>
        <w:t xml:space="preserve">стоимости </w:t>
      </w:r>
      <w:r>
        <w:rPr>
          <w:sz w:val="28"/>
          <w:szCs w:val="28"/>
        </w:rPr>
        <w:t>изымаемого имущества направляется муниципальному унитарному предприятию заказным письмом с уведомлением о вручении не позднее 30 календарных дней со дня принятия Комитетом решения об изъятии имущества. Ответственным за подготовку проекта соглашения об изъятии недвижимого имущества является Комитет.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об изъятии имущества должно содержать условия изъятия, включающие в себя стоимость изымаемого имущества, размер компенсации, порядок и сроки прекращения владения данным имуществом, стоимость и описание недвижимого имущества, и другие значимые обстоятельства.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об изъятии имущества не подлежит государственной регистрации и вступает в силу со дня подписания его заинтересованными сторонами.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хозяйственного ведения на движимое имущество у муниципального унитарного предприятия прекращается с момента возврата имущества в Комитет путем подписания актов приема-передачи имущества. 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хозяйственного ведения на недвижимое имущество у муниципального унитарного предприятия прекращается с момента государственной регистрации перехода прав в органе, осуществляющем </w:t>
      </w:r>
      <w:r>
        <w:rPr>
          <w:sz w:val="28"/>
          <w:szCs w:val="28"/>
        </w:rPr>
        <w:lastRenderedPageBreak/>
        <w:t>государственную регистрацию прав на недвижимое имущество и сделок с ним.».</w:t>
      </w:r>
    </w:p>
    <w:p w:rsidR="00734344" w:rsidRDefault="00734344" w:rsidP="0073434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734344" w:rsidRDefault="00734344" w:rsidP="0073434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опубликования, </w:t>
      </w:r>
      <w:r w:rsidRPr="00E36D9B">
        <w:rPr>
          <w:color w:val="000000"/>
          <w:sz w:val="28"/>
          <w:szCs w:val="28"/>
        </w:rPr>
        <w:t>и распространяет свое действие на правоотношения, возник</w:t>
      </w:r>
      <w:r>
        <w:rPr>
          <w:color w:val="000000"/>
          <w:sz w:val="28"/>
          <w:szCs w:val="28"/>
        </w:rPr>
        <w:t>шие с 25.04.2024.</w:t>
      </w: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34344" w:rsidRDefault="00734344" w:rsidP="00734344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34344" w:rsidRDefault="00734344" w:rsidP="00734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34344" w:rsidRDefault="00734344" w:rsidP="00734344">
      <w:pPr>
        <w:tabs>
          <w:tab w:val="left" w:pos="5387"/>
          <w:tab w:val="left" w:pos="5670"/>
        </w:tabs>
        <w:spacing w:after="1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eastAsia="en-US"/>
        </w:rPr>
        <w:tab/>
        <w:t>Временно исполняющий</w:t>
      </w:r>
    </w:p>
    <w:p w:rsidR="00734344" w:rsidRDefault="00734344" w:rsidP="00734344">
      <w:pPr>
        <w:tabs>
          <w:tab w:val="left" w:pos="5387"/>
        </w:tabs>
        <w:spacing w:after="1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Думы города</w:t>
      </w:r>
      <w:r>
        <w:rPr>
          <w:rFonts w:eastAsia="Calibri"/>
          <w:sz w:val="28"/>
          <w:szCs w:val="28"/>
          <w:lang w:eastAsia="en-US"/>
        </w:rPr>
        <w:tab/>
        <w:t>полномочия главы города</w:t>
      </w:r>
    </w:p>
    <w:p w:rsidR="00734344" w:rsidRDefault="00734344" w:rsidP="00734344">
      <w:pPr>
        <w:tabs>
          <w:tab w:val="left" w:pos="5954"/>
        </w:tabs>
        <w:spacing w:after="160"/>
        <w:contextualSpacing/>
        <w:rPr>
          <w:rFonts w:eastAsia="Calibri"/>
          <w:sz w:val="28"/>
          <w:szCs w:val="28"/>
          <w:lang w:eastAsia="en-US"/>
        </w:rPr>
      </w:pPr>
    </w:p>
    <w:p w:rsidR="00734344" w:rsidRDefault="00734344" w:rsidP="00734344">
      <w:pPr>
        <w:tabs>
          <w:tab w:val="left" w:pos="5387"/>
        </w:tabs>
        <w:spacing w:after="160" w:line="360" w:lineRule="auto"/>
        <w:contextualSpacing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 Г.П. Борщёв</w:t>
      </w:r>
      <w:r>
        <w:rPr>
          <w:rFonts w:eastAsia="Calibri"/>
          <w:sz w:val="28"/>
          <w:szCs w:val="28"/>
          <w:lang w:eastAsia="en-US"/>
        </w:rPr>
        <w:tab/>
        <w:t xml:space="preserve">_____________С.П. </w:t>
      </w:r>
      <w:proofErr w:type="spellStart"/>
      <w:r>
        <w:rPr>
          <w:rFonts w:eastAsia="Calibri"/>
          <w:sz w:val="28"/>
          <w:szCs w:val="28"/>
          <w:lang w:eastAsia="en-US"/>
        </w:rPr>
        <w:t>Жестовский</w:t>
      </w:r>
      <w:proofErr w:type="spellEnd"/>
    </w:p>
    <w:p w:rsidR="00734344" w:rsidRDefault="00734344" w:rsidP="00734344">
      <w:pPr>
        <w:tabs>
          <w:tab w:val="left" w:pos="5387"/>
        </w:tabs>
        <w:spacing w:after="160" w:line="360" w:lineRule="auto"/>
        <w:contextualSpacing/>
        <w:rPr>
          <w:b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640BE">
        <w:rPr>
          <w:rFonts w:eastAsia="Calibri"/>
          <w:sz w:val="28"/>
          <w:szCs w:val="28"/>
          <w:lang w:eastAsia="en-US"/>
        </w:rPr>
        <w:t>____» ___________ 2024 года</w:t>
      </w:r>
      <w:r w:rsidR="007640BE">
        <w:rPr>
          <w:rFonts w:eastAsia="Calibri"/>
          <w:sz w:val="28"/>
          <w:szCs w:val="28"/>
          <w:lang w:eastAsia="en-US"/>
        </w:rPr>
        <w:tab/>
        <w:t>«___ » _____________</w:t>
      </w:r>
      <w:r>
        <w:rPr>
          <w:rFonts w:eastAsia="Calibri"/>
          <w:sz w:val="28"/>
          <w:szCs w:val="28"/>
          <w:lang w:eastAsia="en-US"/>
        </w:rPr>
        <w:t xml:space="preserve"> 2024 года</w:t>
      </w:r>
    </w:p>
    <w:p w:rsidR="00460977" w:rsidRPr="00F545EB" w:rsidRDefault="00460977" w:rsidP="00F545EB">
      <w:pPr>
        <w:rPr>
          <w:b/>
        </w:rPr>
      </w:pPr>
      <w:bookmarkStart w:id="0" w:name="_GoBack"/>
      <w:bookmarkEnd w:id="0"/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p w:rsidR="00460977" w:rsidRDefault="00460977" w:rsidP="00460977">
      <w:pPr>
        <w:pStyle w:val="a4"/>
        <w:jc w:val="left"/>
        <w:rPr>
          <w:sz w:val="16"/>
          <w:szCs w:val="16"/>
        </w:rPr>
      </w:pPr>
    </w:p>
    <w:sectPr w:rsidR="00460977" w:rsidSect="0054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2F"/>
    <w:rsid w:val="00303723"/>
    <w:rsid w:val="0030388C"/>
    <w:rsid w:val="003F082F"/>
    <w:rsid w:val="00460977"/>
    <w:rsid w:val="005410D6"/>
    <w:rsid w:val="006237CB"/>
    <w:rsid w:val="00734344"/>
    <w:rsid w:val="007640BE"/>
    <w:rsid w:val="009A4A36"/>
    <w:rsid w:val="00BC120C"/>
    <w:rsid w:val="00BF5F8E"/>
    <w:rsid w:val="00C60D4B"/>
    <w:rsid w:val="00CE3F6A"/>
    <w:rsid w:val="00DB417E"/>
    <w:rsid w:val="00F5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34344"/>
    <w:rPr>
      <w:color w:val="0000FF"/>
      <w:u w:val="single"/>
    </w:rPr>
  </w:style>
  <w:style w:type="paragraph" w:styleId="a4">
    <w:name w:val="Body Text"/>
    <w:basedOn w:val="a"/>
    <w:link w:val="a5"/>
    <w:rsid w:val="00460977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609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60977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46097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C12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34344"/>
    <w:rPr>
      <w:color w:val="0000FF"/>
      <w:u w:val="single"/>
    </w:rPr>
  </w:style>
  <w:style w:type="paragraph" w:styleId="a4">
    <w:name w:val="Body Text"/>
    <w:basedOn w:val="a"/>
    <w:link w:val="a5"/>
    <w:rsid w:val="00460977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609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60977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46097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C12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300784&amp;dst=1002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&amp;dst=100421" TargetMode="External"/><Relationship Id="rId5" Type="http://schemas.openxmlformats.org/officeDocument/2006/relationships/hyperlink" Target="https://login.consultant.ru/link/?req=doc&amp;base=LAW&amp;n=471848&amp;dst=1011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 Т.Т.</dc:creator>
  <cp:keywords/>
  <dc:description/>
  <cp:lastModifiedBy>Ермоленко О.В.</cp:lastModifiedBy>
  <cp:revision>7</cp:revision>
  <cp:lastPrinted>2024-06-17T13:00:00Z</cp:lastPrinted>
  <dcterms:created xsi:type="dcterms:W3CDTF">2024-06-18T03:32:00Z</dcterms:created>
  <dcterms:modified xsi:type="dcterms:W3CDTF">2024-06-18T04:14:00Z</dcterms:modified>
</cp:coreProperties>
</file>