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98" w:rsidRPr="005D4821" w:rsidRDefault="000B7C98" w:rsidP="000B7C9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765540E" wp14:editId="555655CE">
            <wp:simplePos x="0" y="0"/>
            <wp:positionH relativeFrom="column">
              <wp:posOffset>2649220</wp:posOffset>
            </wp:positionH>
            <wp:positionV relativeFrom="paragraph">
              <wp:posOffset>-351155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C98" w:rsidRDefault="000B7C98" w:rsidP="000B7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4821" w:rsidRPr="005D4821" w:rsidRDefault="005D4821" w:rsidP="000B7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821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:rsidR="005D4821" w:rsidRPr="005D4821" w:rsidRDefault="005D4821" w:rsidP="000B7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821">
        <w:rPr>
          <w:rFonts w:ascii="Times New Roman" w:eastAsia="Calibri" w:hAnsi="Times New Roman" w:cs="Times New Roman"/>
          <w:b/>
          <w:sz w:val="28"/>
          <w:szCs w:val="28"/>
        </w:rPr>
        <w:t xml:space="preserve">Ханты-Мансийского автономного округа </w:t>
      </w:r>
      <w:r w:rsidR="003C03AA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5D4821">
        <w:rPr>
          <w:rFonts w:ascii="Times New Roman" w:eastAsia="Calibri" w:hAnsi="Times New Roman" w:cs="Times New Roman"/>
          <w:b/>
          <w:sz w:val="28"/>
          <w:szCs w:val="28"/>
        </w:rPr>
        <w:t xml:space="preserve"> Югры</w:t>
      </w:r>
    </w:p>
    <w:p w:rsidR="005D4821" w:rsidRPr="005D4821" w:rsidRDefault="005D4821" w:rsidP="000B7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4821" w:rsidRPr="005D4821" w:rsidRDefault="005D4821" w:rsidP="000B7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821">
        <w:rPr>
          <w:rFonts w:ascii="Times New Roman" w:eastAsia="Calibri" w:hAnsi="Times New Roman" w:cs="Times New Roman"/>
          <w:b/>
          <w:sz w:val="28"/>
          <w:szCs w:val="28"/>
        </w:rPr>
        <w:t>ДУМА ГОРОДА РАДУЖНЫЙ</w:t>
      </w:r>
    </w:p>
    <w:p w:rsidR="005D4821" w:rsidRPr="005D4821" w:rsidRDefault="005D4821" w:rsidP="000B7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4821" w:rsidRDefault="005D4821" w:rsidP="000B7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4821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B7C98" w:rsidRPr="005D4821" w:rsidRDefault="000B7C98" w:rsidP="000B7C9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4821" w:rsidRPr="00441E8E" w:rsidRDefault="000B7C98" w:rsidP="005D482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30</w:t>
      </w:r>
      <w:r w:rsidR="00441E8E" w:rsidRPr="00441E8E">
        <w:rPr>
          <w:rFonts w:ascii="Times New Roman" w:eastAsia="Calibri" w:hAnsi="Times New Roman" w:cs="Times New Roman"/>
          <w:b/>
          <w:sz w:val="28"/>
          <w:szCs w:val="28"/>
        </w:rPr>
        <w:t xml:space="preserve"> января 2025</w:t>
      </w:r>
      <w:r w:rsidR="005D4821" w:rsidRPr="00441E8E"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№ 405</w:t>
      </w:r>
    </w:p>
    <w:p w:rsidR="005D4821" w:rsidRDefault="000B7C98" w:rsidP="000B7C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5D4821" w:rsidRPr="005D48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деятельности Счетной палаты города </w:t>
      </w:r>
      <w:proofErr w:type="gramStart"/>
      <w:r w:rsidR="005D4821" w:rsidRPr="005D4821">
        <w:rPr>
          <w:rFonts w:ascii="Times New Roman" w:eastAsia="Calibri" w:hAnsi="Times New Roman" w:cs="Times New Roman"/>
          <w:b/>
          <w:bCs/>
          <w:sz w:val="28"/>
          <w:szCs w:val="28"/>
        </w:rPr>
        <w:t>Радужный</w:t>
      </w:r>
      <w:proofErr w:type="gramEnd"/>
      <w:r w:rsidR="005D4821" w:rsidRPr="005D48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202</w:t>
      </w:r>
      <w:r w:rsidR="002D6017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5D4821" w:rsidRPr="005D48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году</w:t>
      </w:r>
    </w:p>
    <w:p w:rsidR="000B7C98" w:rsidRPr="000B7C98" w:rsidRDefault="000B7C98" w:rsidP="000B7C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4821" w:rsidRDefault="005D4821" w:rsidP="000B7C9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821">
        <w:rPr>
          <w:rFonts w:ascii="Times New Roman" w:eastAsia="Calibri" w:hAnsi="Times New Roman" w:cs="Times New Roman"/>
          <w:bCs/>
          <w:sz w:val="28"/>
          <w:szCs w:val="28"/>
        </w:rPr>
        <w:t>Заслушав и обсудив отчет о деятельности Счетной палаты города Радужный в 202</w:t>
      </w:r>
      <w:r w:rsidR="002D6017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5D4821">
        <w:rPr>
          <w:rFonts w:ascii="Times New Roman" w:eastAsia="Calibri" w:hAnsi="Times New Roman" w:cs="Times New Roman"/>
          <w:bCs/>
          <w:sz w:val="28"/>
          <w:szCs w:val="28"/>
        </w:rPr>
        <w:t xml:space="preserve"> году, руководствуясь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города Радужный, решением Думы города от 29.02.2016 № 77 «О </w:t>
      </w:r>
      <w:proofErr w:type="gramStart"/>
      <w:r w:rsidRPr="005D4821">
        <w:rPr>
          <w:rFonts w:ascii="Times New Roman" w:eastAsia="Calibri" w:hAnsi="Times New Roman" w:cs="Times New Roman"/>
          <w:bCs/>
          <w:sz w:val="28"/>
          <w:szCs w:val="28"/>
        </w:rPr>
        <w:t>положении</w:t>
      </w:r>
      <w:proofErr w:type="gramEnd"/>
      <w:r w:rsidRPr="005D4821">
        <w:rPr>
          <w:rFonts w:ascii="Times New Roman" w:eastAsia="Calibri" w:hAnsi="Times New Roman" w:cs="Times New Roman"/>
          <w:bCs/>
          <w:sz w:val="28"/>
          <w:szCs w:val="28"/>
        </w:rPr>
        <w:t xml:space="preserve"> о порядке и сроках представления, утверждения и опубликования отчетов органов местного самоуправления и должностных лиц местного самоуправления города Радужный», Дума города</w:t>
      </w:r>
      <w:r w:rsidR="000B7C98">
        <w:rPr>
          <w:rFonts w:ascii="Times New Roman" w:eastAsia="Calibri" w:hAnsi="Times New Roman" w:cs="Times New Roman"/>
          <w:bCs/>
          <w:sz w:val="28"/>
          <w:szCs w:val="28"/>
        </w:rPr>
        <w:t xml:space="preserve"> Радужный </w:t>
      </w:r>
      <w:r w:rsidRPr="005D4821">
        <w:rPr>
          <w:rFonts w:ascii="Times New Roman" w:eastAsia="Calibri" w:hAnsi="Times New Roman" w:cs="Times New Roman"/>
          <w:bCs/>
          <w:sz w:val="28"/>
          <w:szCs w:val="28"/>
        </w:rPr>
        <w:t>решила:</w:t>
      </w:r>
    </w:p>
    <w:p w:rsidR="000B7C98" w:rsidRPr="005D4821" w:rsidRDefault="000B7C98" w:rsidP="000B7C9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D4821" w:rsidRDefault="000B7C98" w:rsidP="00B842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D4821" w:rsidRPr="005D4821">
        <w:rPr>
          <w:rFonts w:ascii="Times New Roman" w:eastAsia="Calibri" w:hAnsi="Times New Roman" w:cs="Times New Roman"/>
          <w:bCs/>
          <w:sz w:val="28"/>
          <w:szCs w:val="28"/>
        </w:rPr>
        <w:t>1. Отчет о деятельности Счетной палаты города Радужный в 202</w:t>
      </w:r>
      <w:r w:rsidR="002D6017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году принять к сведению (П</w:t>
      </w:r>
      <w:r w:rsidR="005D4821" w:rsidRPr="005D4821">
        <w:rPr>
          <w:rFonts w:ascii="Times New Roman" w:eastAsia="Calibri" w:hAnsi="Times New Roman" w:cs="Times New Roman"/>
          <w:bCs/>
          <w:sz w:val="28"/>
          <w:szCs w:val="28"/>
        </w:rPr>
        <w:t>риложение).</w:t>
      </w:r>
    </w:p>
    <w:p w:rsidR="000B7C98" w:rsidRDefault="000B7C98" w:rsidP="000B7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D4821" w:rsidRDefault="000B7C98" w:rsidP="000B7C9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D4821" w:rsidRPr="00C94E7F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C94E7F" w:rsidRPr="00C94E7F">
        <w:rPr>
          <w:rFonts w:ascii="Times New Roman" w:eastAsia="Calibri" w:hAnsi="Times New Roman" w:cs="Times New Roman"/>
          <w:bCs/>
          <w:sz w:val="28"/>
          <w:szCs w:val="28"/>
        </w:rPr>
        <w:t>Обнародовать настоящее решение путем официального опубликования в сетевом издании «Официальный сайт администрации города Радужный»</w:t>
      </w:r>
      <w:r w:rsidR="00C94E7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B7C98" w:rsidRDefault="000B7C98" w:rsidP="000B7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D4821" w:rsidRDefault="000B7C98" w:rsidP="000B7C9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D4821">
        <w:rPr>
          <w:rFonts w:ascii="Times New Roman" w:eastAsia="Calibri" w:hAnsi="Times New Roman" w:cs="Times New Roman"/>
          <w:bCs/>
          <w:sz w:val="28"/>
          <w:szCs w:val="28"/>
        </w:rPr>
        <w:t>3. Настоящее решение вступает в силу после его подписания.</w:t>
      </w:r>
    </w:p>
    <w:p w:rsidR="000B7C98" w:rsidRPr="005D4821" w:rsidRDefault="000B7C98" w:rsidP="000B7C9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D4821" w:rsidRPr="005D4821" w:rsidRDefault="005D4821" w:rsidP="005D4821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7C98" w:rsidRDefault="000B7C98" w:rsidP="000B7C98">
      <w:pPr>
        <w:tabs>
          <w:tab w:val="left" w:pos="7371"/>
        </w:tabs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B7C9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Думы города </w:t>
      </w:r>
      <w:r w:rsidRPr="000B7C9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Г.П. Борщёв</w:t>
      </w:r>
    </w:p>
    <w:p w:rsidR="000B7C98" w:rsidRPr="000B7C98" w:rsidRDefault="000B7C98" w:rsidP="000B7C98">
      <w:pPr>
        <w:tabs>
          <w:tab w:val="left" w:pos="7371"/>
        </w:tabs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B7C98" w:rsidRPr="000B7C98" w:rsidRDefault="000B7C98" w:rsidP="000B7C98">
      <w:pPr>
        <w:tabs>
          <w:tab w:val="left" w:pos="5954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7C98">
        <w:rPr>
          <w:rFonts w:ascii="Times New Roman" w:hAnsi="Times New Roman" w:cs="Times New Roman"/>
          <w:sz w:val="28"/>
          <w:szCs w:val="28"/>
        </w:rPr>
        <w:t>«___» __________</w:t>
      </w:r>
      <w:r w:rsidRPr="000B7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C98">
        <w:rPr>
          <w:rFonts w:ascii="Times New Roman" w:hAnsi="Times New Roman" w:cs="Times New Roman"/>
          <w:sz w:val="28"/>
          <w:szCs w:val="28"/>
        </w:rPr>
        <w:t>2025 года</w:t>
      </w:r>
    </w:p>
    <w:p w:rsidR="00441E8E" w:rsidRDefault="00441E8E" w:rsidP="005D4821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41E8E" w:rsidRDefault="00441E8E" w:rsidP="005D4821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7C98" w:rsidRDefault="000B7C98" w:rsidP="005D4821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7C98" w:rsidRDefault="000B7C98" w:rsidP="00441E8E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D4821" w:rsidRPr="005D4821" w:rsidRDefault="005D4821" w:rsidP="00441E8E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D482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5D4821" w:rsidRPr="005D4821" w:rsidRDefault="005D4821" w:rsidP="00441E8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D4821">
        <w:rPr>
          <w:rFonts w:ascii="Times New Roman" w:eastAsia="Calibri" w:hAnsi="Times New Roman" w:cs="Times New Roman"/>
          <w:bCs/>
          <w:sz w:val="28"/>
          <w:szCs w:val="28"/>
        </w:rPr>
        <w:t>к решению Думы города</w:t>
      </w:r>
    </w:p>
    <w:p w:rsidR="005D4821" w:rsidRPr="005D4821" w:rsidRDefault="000B7C98" w:rsidP="00441E8E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30.01.2025 № 405</w:t>
      </w:r>
    </w:p>
    <w:p w:rsidR="00A53647" w:rsidRDefault="00A53647" w:rsidP="000B7C98">
      <w:pPr>
        <w:spacing w:after="0" w:line="240" w:lineRule="auto"/>
        <w:jc w:val="center"/>
      </w:pPr>
    </w:p>
    <w:p w:rsidR="00100B54" w:rsidRPr="00100B54" w:rsidRDefault="00100B54" w:rsidP="000B7C9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0B54">
        <w:rPr>
          <w:rFonts w:ascii="Times New Roman" w:eastAsia="Calibri" w:hAnsi="Times New Roman" w:cs="Times New Roman"/>
          <w:b/>
          <w:bCs/>
          <w:sz w:val="28"/>
          <w:szCs w:val="28"/>
        </w:rPr>
        <w:t>ОТЧЕТ</w:t>
      </w:r>
    </w:p>
    <w:p w:rsidR="00100B54" w:rsidRPr="00100B54" w:rsidRDefault="00100B54" w:rsidP="000B7C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0B54">
        <w:rPr>
          <w:rFonts w:ascii="Times New Roman" w:eastAsia="Calibri" w:hAnsi="Times New Roman" w:cs="Times New Roman"/>
          <w:b/>
          <w:bCs/>
          <w:sz w:val="28"/>
          <w:szCs w:val="28"/>
        </w:rPr>
        <w:t>о деятельности Счетной палаты города Радужный в 2024 году</w:t>
      </w:r>
    </w:p>
    <w:p w:rsidR="00100B54" w:rsidRPr="00100B54" w:rsidRDefault="00100B54" w:rsidP="000B7C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7C98" w:rsidRDefault="00100B54" w:rsidP="000B7C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0B5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100B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Основные направления и планирование деятельности </w:t>
      </w:r>
    </w:p>
    <w:p w:rsidR="00100B54" w:rsidRDefault="00100B54" w:rsidP="000B7C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0B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Счетной палаты города </w:t>
      </w:r>
      <w:proofErr w:type="gramStart"/>
      <w:r w:rsidRPr="00100B54">
        <w:rPr>
          <w:rFonts w:ascii="Times New Roman" w:eastAsia="Calibri" w:hAnsi="Times New Roman" w:cs="Times New Roman"/>
          <w:b/>
          <w:bCs/>
          <w:sz w:val="28"/>
          <w:szCs w:val="28"/>
        </w:rPr>
        <w:t>Радужный</w:t>
      </w:r>
      <w:proofErr w:type="gramEnd"/>
    </w:p>
    <w:p w:rsidR="000B7C98" w:rsidRPr="00100B54" w:rsidRDefault="000B7C98" w:rsidP="00100B5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0B54" w:rsidRPr="00100B54" w:rsidRDefault="000B7C98" w:rsidP="000B7C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Счетной палаты города Радужный (далее также – Счетная палата города) основывается и осуществляется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также – Федеральный закон № 6-ФЗ), иным действующим федеральным законодательством и законодательством Ханты-Мансийского автономного округа – Югры, муниципальными правовыми актами.</w:t>
      </w:r>
      <w:proofErr w:type="gramEnd"/>
    </w:p>
    <w:p w:rsidR="00100B54" w:rsidRPr="00100B54" w:rsidRDefault="000B7C98" w:rsidP="000B7C9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палата города</w:t>
      </w:r>
      <w:r w:rsidR="00100B54" w:rsidRPr="00100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постоянно действующим органом внешнего муниципального финансового контроля, который осуществляется</w:t>
      </w:r>
      <w:r w:rsidR="00100B54" w:rsidRPr="00100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контрольных или экспертно-аналитических мероприятий.</w:t>
      </w:r>
    </w:p>
    <w:p w:rsidR="00100B54" w:rsidRPr="00100B54" w:rsidRDefault="000B7C98" w:rsidP="000B7C9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полномочия Счетной палаты города закреплены в части 2 статьи 9 Федерального закона № 6-ФЗ, статье 8 решения Думы города Радужный от 27.10.2011 № 208 «О Счетной палате города Радужный» (далее также – Положение о Счетной палате города), в числе которых необходимо отметить следующие:</w:t>
      </w:r>
    </w:p>
    <w:p w:rsidR="00100B54" w:rsidRPr="00100B54" w:rsidRDefault="000B7C98" w:rsidP="000B7C9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сл</w:t>
      </w:r>
      <w:proofErr w:type="gramEnd"/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учаях, предусмотренных законодательством Российской Федерации;</w:t>
      </w:r>
    </w:p>
    <w:p w:rsidR="00100B54" w:rsidRPr="00100B54" w:rsidRDefault="00100B54" w:rsidP="000B7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экспертиза проектов местного бюджета, проверка и анализ обоснованности его показателей;</w:t>
      </w:r>
    </w:p>
    <w:p w:rsidR="00100B54" w:rsidRPr="00100B54" w:rsidRDefault="00100B54" w:rsidP="000B7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внешняя проверка годового отчета об исполнении местного бюджета;</w:t>
      </w:r>
    </w:p>
    <w:p w:rsidR="00100B54" w:rsidRPr="00100B54" w:rsidRDefault="00100B54" w:rsidP="000B7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аудита в сфере закупок товаров, работ и услуг;</w:t>
      </w:r>
    </w:p>
    <w:p w:rsidR="00100B54" w:rsidRPr="00100B54" w:rsidRDefault="00100B54" w:rsidP="000B7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установленного порядка формирования муниципальной собственности, управления и распоряжения такой собственностью;</w:t>
      </w:r>
    </w:p>
    <w:p w:rsidR="00100B54" w:rsidRPr="00100B54" w:rsidRDefault="00100B54" w:rsidP="000B7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экспертиза проектов муниципальных правовых актов;</w:t>
      </w:r>
    </w:p>
    <w:p w:rsidR="00100B54" w:rsidRPr="00100B54" w:rsidRDefault="00100B54" w:rsidP="000B7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пределах полномочий в мероприятиях, направленных на противодействие коррупции.</w:t>
      </w:r>
    </w:p>
    <w:p w:rsidR="00100B54" w:rsidRPr="00100B54" w:rsidRDefault="00100B54" w:rsidP="000B7C9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деятельности Счетной палаты города осуществляется самостоятельно с учетом результатов контрольных и экспертно-аналитических мероприятий, а также поступивших поручений Думы города 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Радужный (далее также – Дума города), предложений главы города Радужный (далее также – глава города), прокуратуры города Радужный (далее также – прокуратура города). </w:t>
      </w:r>
    </w:p>
    <w:p w:rsidR="00100B54" w:rsidRPr="00100B54" w:rsidRDefault="00100B54" w:rsidP="000B7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плана работы Счетной палаты города на 2024 год (далее также – План работы) и в ходе его реализации поручения Думы города, письменные предложения главы города и прокуратуры города не поступали.</w:t>
      </w:r>
    </w:p>
    <w:p w:rsidR="00100B54" w:rsidRPr="00100B54" w:rsidRDefault="00100B54" w:rsidP="000B7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был сформирован с применением </w:t>
      </w:r>
      <w:proofErr w:type="gramStart"/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риск-ориентированного</w:t>
      </w:r>
      <w:proofErr w:type="gramEnd"/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</w:t>
      </w:r>
      <w:r w:rsidRPr="00100B54">
        <w:rPr>
          <w:rFonts w:ascii="Calibri" w:eastAsia="Calibri" w:hAnsi="Calibri" w:cs="Times New Roman"/>
        </w:rPr>
        <w:t xml:space="preserve"> 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результатов контрольных и экспертно-аналитических мероприятий и исходя из установленной штатной численности. В течение отчетного периода в План работы изменения не вносились. </w:t>
      </w:r>
    </w:p>
    <w:p w:rsidR="00100B54" w:rsidRPr="00100B54" w:rsidRDefault="00100B54" w:rsidP="000B7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Планом работы мероприятия исполнены в полном объеме.</w:t>
      </w:r>
    </w:p>
    <w:p w:rsidR="00100B54" w:rsidRPr="00100B54" w:rsidRDefault="00100B54" w:rsidP="000B7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результатов контрольных и экспертно-аналитических мероприятий осуществлялась путем взаимодействия с объектами контроля, органами местного самоуправления, правоохранительными органами и была направлена на предупреждение, выявление и устранение выявленных нарушений, привлечение виновных лиц к ответственности, а также возмещение причиненного муниципальному образованию ущерба.</w:t>
      </w:r>
    </w:p>
    <w:p w:rsidR="00100B54" w:rsidRPr="00100B54" w:rsidRDefault="00100B54" w:rsidP="000B7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Федерального закона № 6-ФЗ и соглашения, заключенного в целях обмена информацией и принятия предусмотренных законом мер по устранению нарушений действующего законодательства, в прокуратуру города направлялись материалы по результатам каждого проведенного контрольного мероприятия.</w:t>
      </w:r>
    </w:p>
    <w:p w:rsidR="00100B54" w:rsidRPr="00100B54" w:rsidRDefault="00100B54" w:rsidP="000B7C9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0B54">
        <w:rPr>
          <w:rFonts w:ascii="Times New Roman" w:eastAsia="Calibri" w:hAnsi="Times New Roman" w:cs="Times New Roman"/>
          <w:bCs/>
          <w:sz w:val="28"/>
          <w:szCs w:val="28"/>
        </w:rPr>
        <w:t>Основные показатели деятельности Счетной палаты города приведены в таблице: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607"/>
        <w:gridCol w:w="4113"/>
        <w:gridCol w:w="2123"/>
      </w:tblGrid>
      <w:tr w:rsidR="00100B54" w:rsidRPr="00100B54" w:rsidTr="00100B54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0B54" w:rsidRPr="00100B54" w:rsidRDefault="00100B54" w:rsidP="000B7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Основные показатели деятельности Счетной палаты </w:t>
            </w:r>
            <w:r w:rsidRPr="00100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города Радужный за 2024 года</w:t>
            </w:r>
          </w:p>
        </w:tc>
      </w:tr>
      <w:tr w:rsidR="00100B54" w:rsidRPr="00100B54" w:rsidTr="00100B5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Правовой статус Счетной палаты города Радужный (далее также – СП города), численность и профессиональная подготовка должностных лиц Счетной города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города является органом местного самоуправления с правами юридического лица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Фактическая численность сотрудников по состоянию на 31.12.2024 года, чел.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имеющих высшее профессиональное образование, чел.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 имеющих высшего профессионального образования, чел.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прошло обучение по программе профессионального развития (повышения квалификации и т.д.) в 2024 году, чел.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00B54" w:rsidRPr="00100B54" w:rsidTr="00100B5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Результаты деятельности СП города 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2.1.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Общий объем проверенных средств в ходе проведения </w:t>
            </w: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контрольных и экспертно-аналитических мероприятий (в том числе внебюджетных),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00B5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19 710 470,34</w:t>
            </w:r>
            <w:r w:rsidRPr="00100B54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</w:rPr>
              <w:footnoteReference w:id="1"/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2.2.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Количество проведенных экспертно-аналитических мероприятий: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1</w:t>
            </w: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gramStart"/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результатам</w:t>
            </w:r>
            <w:proofErr w:type="gramEnd"/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которых:</w:t>
            </w:r>
          </w:p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выданы экспертные заключения на проекты муниципальных правовых актов (в том числе муниципальных программ), ед. из них: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</w:tr>
      <w:tr w:rsidR="00100B54" w:rsidRPr="00100B54" w:rsidTr="00100B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замечаний и предложений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</w:tr>
      <w:tr w:rsidR="00100B54" w:rsidRPr="00100B54" w:rsidTr="00100B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замечаниями и предложениями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2.2.2.</w:t>
            </w:r>
          </w:p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выданы экспертные заключения на возражения к актам, составленным по результатам контрольных мероприятий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составлено отчетов по результатам экспертно-аналитических мероприятий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2.3.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Количество проведенных контрольных мероприятий, ед.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которых: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проверено объектов контроля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выдано представлений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00B54" w:rsidRPr="00100B54" w:rsidTr="00100B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</w:tr>
      <w:tr w:rsidR="00100B54" w:rsidRPr="00100B54" w:rsidTr="00100B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в полном объеме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00B54" w:rsidRPr="00100B54" w:rsidTr="00100B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исполнено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стадии исполнения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выдано предписаний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направлено информационных писем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направленно материалов в правоохранительные органы в рамках взаимодействия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возбужденных по материалам СП города уголовных дел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составлено должностными лицами СП города протоколов об административных правонарушениях: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00B54" w:rsidRPr="00100B54" w:rsidTr="00100B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рассмотрения которых:</w:t>
            </w:r>
          </w:p>
        </w:tc>
      </w:tr>
      <w:tr w:rsidR="00100B54" w:rsidRPr="00100B54" w:rsidTr="00100B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Вынесено постановлений о назначении административного наказания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100B5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2"/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Отказано в назначении административного наказания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2.4.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Объемы финансовых нарушений</w:t>
            </w: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footnoteReference w:id="3"/>
            </w: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выявленных СП города, всего, тыс. рублей: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00B54">
              <w:rPr>
                <w:rFonts w:ascii="Times New Roman" w:eastAsia="Calibri" w:hAnsi="Times New Roman" w:cs="Times New Roman"/>
                <w:b/>
                <w:color w:val="000000"/>
              </w:rPr>
              <w:t>1 601 158,35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2.4.1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нецелевое использование бюджетных средств,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при формировании и исполнении бюджетов,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нарушения ведения бухгалтерского </w:t>
            </w: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учета, составления и предоставления бухгалтерской (финансовой) отчетности,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37,90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в сфере управления и распоряжения муниципальной собственностью,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при осуществлении муниципальных закупок и закупок отдельными видами юридических лиц,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нарушения,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Calibri" w:hAnsi="Times New Roman" w:cs="Times New Roman"/>
                <w:color w:val="000000"/>
              </w:rPr>
              <w:t>1 601 120,45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2.4.7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повлекло неэффективное использование бюджетных средств,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Calibri" w:hAnsi="Times New Roman" w:cs="Times New Roman"/>
                <w:color w:val="000000"/>
              </w:rPr>
              <w:t>242,59</w:t>
            </w:r>
          </w:p>
        </w:tc>
      </w:tr>
      <w:tr w:rsidR="00100B54" w:rsidRPr="00100B54" w:rsidTr="00100B5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Реализация результатов контрольных и экспертно-аналитических мероприятий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Устранено финансовых нарушений, выявленных СП города (без учета прошлых периодов), всего, тыс. рублей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1 495 100,36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нецелевое использование бюджетных средств, тыс. рублей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при формировании и исполнении бюджетов,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ведения бухгалтерского учета, составления и предоставления бухгалтерской (финансовой) отчетности,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37,90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в сфере управления и распоряжения муниципальной собственностью,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при осуществлении муниципальных закупок и закупок отдельными видами юридических лиц,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нарушения,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1 495 062,46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Устранено финансовых нарушений, выявленных СП города в прошлые периоды,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Деятельность коллегии CП города 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проведенных заседаний, ед.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4.1.1.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них рассмотрено </w:t>
            </w:r>
          </w:p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вопросов: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проектам плана работы СП города и вносимых в него изменений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проектам стандартов внешнего муниципального финансового контроля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проекту годового отчета о деятельности СП города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проектам стандартов организации деятельности СП города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 проектам решений о выполнении представлений (предписаний) Счетной палаты (отдельных требований)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вопросам, связанным с методологическим обеспечением деятельности СП города, выработки единых подходов к осуществлению своей деятельности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4.1.7.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иным наиболее важных вопросам, связанным с деятельностью СП города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00B54" w:rsidRPr="00100B54" w:rsidTr="00100B54">
        <w:trPr>
          <w:trHeight w:val="20"/>
        </w:trPr>
        <w:tc>
          <w:tcPr>
            <w:tcW w:w="3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Гласность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собственного информационного сайта в сети Интернет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https://spalatarad.ru/ 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5.2.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публикаций в СМИ (в том числе на собственном информационном сайте в сети Интернет), отражающих деятельность СП города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</w:tr>
    </w:tbl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100B54" w:rsidRDefault="00100B54" w:rsidP="000B7C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0B5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100B54">
        <w:rPr>
          <w:rFonts w:ascii="Times New Roman" w:eastAsia="Calibri" w:hAnsi="Times New Roman" w:cs="Times New Roman"/>
          <w:b/>
          <w:bCs/>
          <w:sz w:val="28"/>
          <w:szCs w:val="28"/>
        </w:rPr>
        <w:t>. Контрольные мероприятия и реализация их результатов</w:t>
      </w:r>
    </w:p>
    <w:p w:rsidR="00932016" w:rsidRPr="00100B54" w:rsidRDefault="00932016" w:rsidP="000B7C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0B54" w:rsidRPr="00100B54" w:rsidRDefault="00100B54" w:rsidP="00B8429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r w:rsidRPr="00100B5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в 2024 году проводились в соответствии с Планом работы и стандартами внешнего муниципального финансового контроля.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117F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отчетном периоде Счетной палатой города проведено 5 контрольных мероприятий. </w:t>
      </w:r>
    </w:p>
    <w:p w:rsidR="00100B54" w:rsidRPr="00FB117F" w:rsidRDefault="00FB117F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>Три контрольных мероприятия «Проверка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средств» (далее такж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– ГАБС), проверяемый период – </w:t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>2023 год.</w:t>
      </w:r>
    </w:p>
    <w:p w:rsidR="00100B54" w:rsidRPr="00100B54" w:rsidRDefault="00100B54" w:rsidP="00FB117F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Объекты:</w:t>
      </w:r>
    </w:p>
    <w:p w:rsidR="00100B54" w:rsidRPr="00100B54" w:rsidRDefault="00100B54" w:rsidP="000B7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17F">
        <w:rPr>
          <w:rFonts w:ascii="Times New Roman" w:eastAsia="Times New Roman" w:hAnsi="Times New Roman" w:cs="Times New Roman"/>
          <w:sz w:val="28"/>
          <w:szCs w:val="28"/>
        </w:rPr>
        <w:tab/>
      </w:r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города </w:t>
      </w:r>
      <w:proofErr w:type="gramStart"/>
      <w:r w:rsidRPr="00100B54">
        <w:rPr>
          <w:rFonts w:ascii="Times New Roman" w:eastAsia="Times New Roman" w:hAnsi="Times New Roman" w:cs="Times New Roman"/>
          <w:sz w:val="28"/>
          <w:szCs w:val="28"/>
        </w:rPr>
        <w:t>Радужный</w:t>
      </w:r>
      <w:proofErr w:type="gramEnd"/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 (далее также – Администрация города); </w:t>
      </w:r>
    </w:p>
    <w:p w:rsidR="00100B54" w:rsidRPr="00100B54" w:rsidRDefault="00B8429D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Радужный (далее также – Комитет по УМИ);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- Управления культуры, спорта и молодежной политики администрации города </w:t>
      </w:r>
      <w:proofErr w:type="gramStart"/>
      <w:r w:rsidRPr="00100B54">
        <w:rPr>
          <w:rFonts w:ascii="Times New Roman" w:eastAsia="Times New Roman" w:hAnsi="Times New Roman" w:cs="Times New Roman"/>
          <w:sz w:val="28"/>
          <w:szCs w:val="28"/>
        </w:rPr>
        <w:t>Радужный</w:t>
      </w:r>
      <w:proofErr w:type="gramEnd"/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 (далее также – </w:t>
      </w:r>
      <w:proofErr w:type="spellStart"/>
      <w:r w:rsidRPr="00100B54">
        <w:rPr>
          <w:rFonts w:ascii="Times New Roman" w:eastAsia="Times New Roman" w:hAnsi="Times New Roman" w:cs="Times New Roman"/>
          <w:sz w:val="28"/>
          <w:szCs w:val="28"/>
        </w:rPr>
        <w:t>УКСиМП</w:t>
      </w:r>
      <w:proofErr w:type="spellEnd"/>
      <w:r w:rsidRPr="00100B5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Цель контрольных мероприятий – установить законность, степень полноты и достоверность показателей представленной бюджетной отчетности ГАБС.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Объем проверенных средств – 1 644 337,07 тыс. рублей.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В ходе контрольных мероприятий по всем объектам контроля выявлен ряд недостатков и нарушений:</w:t>
      </w:r>
    </w:p>
    <w:p w:rsidR="00100B54" w:rsidRPr="00100B54" w:rsidRDefault="00100B54" w:rsidP="000B7C98">
      <w:pPr>
        <w:numPr>
          <w:ilvl w:val="0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Нарушения установленных единых требований к бюджетному (бухгалтерскому) учету, в том числе бюджетной, бухгалтерской (финансовой) отчетности: </w:t>
      </w:r>
    </w:p>
    <w:p w:rsidR="00100B54" w:rsidRPr="00100B54" w:rsidRDefault="00100B54" w:rsidP="00FB117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- нарушение требований, предъявляемых к правилам ведения бюджетного (бухгалтерского) учета – 3 случая на сумму 37,90 тыс. рублей.</w:t>
      </w:r>
    </w:p>
    <w:p w:rsidR="00100B54" w:rsidRPr="00100B54" w:rsidRDefault="00100B54" w:rsidP="000B7C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Нарушения в сфере управления и распоряжения муниципальной собственностью:</w:t>
      </w:r>
    </w:p>
    <w:p w:rsidR="00100B54" w:rsidRPr="00100B54" w:rsidRDefault="00100B54" w:rsidP="00FB117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00B54">
        <w:rPr>
          <w:rFonts w:ascii="Calibri" w:eastAsia="Calibri" w:hAnsi="Calibri" w:cs="Times New Roman"/>
        </w:rPr>
        <w:t xml:space="preserve"> </w:t>
      </w:r>
      <w:r w:rsidRPr="00100B54">
        <w:rPr>
          <w:rFonts w:ascii="Times New Roman" w:eastAsia="Times New Roman" w:hAnsi="Times New Roman" w:cs="Times New Roman"/>
          <w:sz w:val="28"/>
          <w:szCs w:val="28"/>
        </w:rPr>
        <w:t>нарушение порядка отнесения имущества автономного или бюджетного учреждения к категории особо ценного движимого имущества – 1 случай без суммового выражения.</w:t>
      </w:r>
    </w:p>
    <w:p w:rsidR="00100B54" w:rsidRPr="00100B54" w:rsidRDefault="00100B54" w:rsidP="000B7C9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Иные нарушения: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муниципального имущества отсутствуют объекты, которые в бухгалтерском учете отражены на счете 1.108.56 «Материальные запасы, составляющие казну» – 1 случай на сумму 721,76 тыс. рублей;</w:t>
      </w:r>
    </w:p>
    <w:p w:rsidR="00100B54" w:rsidRPr="00100B54" w:rsidRDefault="00100B54" w:rsidP="00FB117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бухгалтерском и реестровом учете отражены объекты с нулевой стоимостью – 2 случая без суммового выражения;</w:t>
      </w:r>
    </w:p>
    <w:p w:rsidR="00100B54" w:rsidRPr="00100B54" w:rsidRDefault="00100B54" w:rsidP="00FB117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реестровом учете числятся объекты с нулевой стоимостью, закрепленные за муниципальными учреждениями – 26 случаев без суммового выражения;</w:t>
      </w:r>
    </w:p>
    <w:p w:rsidR="00100B54" w:rsidRPr="00100B54" w:rsidRDefault="00100B54" w:rsidP="00FB117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реестровом учете муниципальной казны балансодержателем ряда объектов </w:t>
      </w:r>
      <w:r w:rsidR="00B8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числятся ликвидированные в 2021 – 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годах организации (унитарное предприятие и автономные учреждения) – 12 случаев на сумму 54 399,25 тыс. рублей;</w:t>
      </w:r>
    </w:p>
    <w:p w:rsidR="00100B54" w:rsidRPr="00100B54" w:rsidRDefault="00100B54" w:rsidP="00FB117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переоценкой кадастровой стоимости земли стоимость земельных участков не соответствует указанной в реестровом учете – 155 случаев на сумму 1 455 599,12 тыс. рублей.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Подробные сведения о контрольных мероприятиях содержатся в составленных по их результатам отчетах, которые были направлены в Думу города.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Комитету по УМИ внесено представление, которое в целом Счетной палатой признано исполненным, за исключением не передачи одного земельного участка в виду необходимости проведения кадастровых работ после внесения изменений в утвержденный проект планировки и проект межевания, что требует значительных временных затрат.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Администрации города и </w:t>
      </w:r>
      <w:proofErr w:type="spellStart"/>
      <w:r w:rsidRPr="00100B54">
        <w:rPr>
          <w:rFonts w:ascii="Times New Roman" w:eastAsia="Times New Roman" w:hAnsi="Times New Roman" w:cs="Times New Roman"/>
          <w:sz w:val="28"/>
          <w:szCs w:val="28"/>
        </w:rPr>
        <w:t>УКСиМП</w:t>
      </w:r>
      <w:proofErr w:type="spellEnd"/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 направлены информационные письма. Нарушения и недостатки, выявленные в ходе контрольных мероприятий, объектами контроля устранены.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В целях обмена информацией и принятия предусмотренных законом мер, акты проверок направлены в прокуратуру города.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2. Контрольное мероприятие «Проверка законности, эффективности и целевого использования средств, полученных из бюджета города в форме субсидий, муниципальными учреждениями города, подведомственными Управлению культуры, спорта и молодежной политики администрации города Радужный (выборочно)», проверяемый период – 2023 год.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Объекты контрольного мероприятия:</w:t>
      </w:r>
      <w:r w:rsidRPr="00100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00B54">
        <w:rPr>
          <w:rFonts w:ascii="Times New Roman" w:eastAsia="Times New Roman" w:hAnsi="Times New Roman" w:cs="Times New Roman"/>
          <w:sz w:val="26"/>
          <w:szCs w:val="26"/>
          <w:lang w:eastAsia="ru-RU"/>
        </w:rPr>
        <w:t>УКСиМП</w:t>
      </w:r>
      <w:proofErr w:type="spellEnd"/>
      <w:r w:rsidRPr="00100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автономное учреждение городской молодежный центр «Вектор М» городского округа Радужный Ханты-Мансийского автономного округа – Югры (далее также – АУ ГМЦ «Вектор М» города Радужный).</w:t>
      </w:r>
    </w:p>
    <w:p w:rsidR="00100B54" w:rsidRPr="00100B54" w:rsidRDefault="00FB117F" w:rsidP="00FB117F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 xml:space="preserve">Цель контрольного мероприятия: Определить законность, результативность (эффективность) и целевое использование средств бюджета, предназначенных для выполнения муниципального задания, а также направляемых в форме субсидий на иные цели, правильность формирования показателей муниципального задания на оказание муниципальных услуг и финансового обеспечения его выполнения, соответствия достигнутых учреждением фактических результатов результатам, установленным муниципальным заданием. </w:t>
      </w:r>
    </w:p>
    <w:p w:rsidR="00100B54" w:rsidRPr="00100B54" w:rsidRDefault="00FB117F" w:rsidP="00FB117F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 xml:space="preserve">Объем проверенных средств: </w:t>
      </w:r>
      <w:r w:rsidR="00100B54" w:rsidRPr="00100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34 908,64 </w:t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100B54" w:rsidRPr="00100B54" w:rsidRDefault="00FB117F" w:rsidP="00FB117F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контрольного мероприятия установлено 75 случаев нарушений на общую сумму 166,12 тыс. рублей:</w:t>
      </w:r>
    </w:p>
    <w:p w:rsidR="00100B54" w:rsidRPr="00100B54" w:rsidRDefault="00100B54" w:rsidP="00FB117F">
      <w:pPr>
        <w:numPr>
          <w:ilvl w:val="0"/>
          <w:numId w:val="34"/>
        </w:numPr>
        <w:tabs>
          <w:tab w:val="left" w:pos="92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Нарушения в ходе исполнения бюджета города Радужный – 24 случая, из них:</w:t>
      </w:r>
    </w:p>
    <w:p w:rsidR="00100B54" w:rsidRPr="00100B54" w:rsidRDefault="00FB117F" w:rsidP="00FB117F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 xml:space="preserve">- нарушение порядка формирования и (или) финансового обеспечения выполнения муниципального задания на оказание муниципальных услуг (выполнение работ) муниципальными учреждениями и (или) соглашения о предоставлении субсидии из бюджета города Радужный на финансовое обеспечение выполнения муниципального задания – 1 случай без суммового выражения; </w:t>
      </w:r>
    </w:p>
    <w:p w:rsidR="00100B54" w:rsidRPr="00100B54" w:rsidRDefault="00FB117F" w:rsidP="00FB117F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>- нарушение порядка определения объема и условий предоставления из бюджетов бюджетной системы Российской Федерации субсидий бюджетным и автономным учреждениям на иные цели – 2 случая без суммового выражения;</w:t>
      </w:r>
    </w:p>
    <w:p w:rsidR="00100B54" w:rsidRPr="00100B54" w:rsidRDefault="00FB117F" w:rsidP="00FB117F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>- нарушение порядка формирования и исполнения плана финансово-хозяйственной деятельности автономным учреждением – 21 случай без суммового выражения;</w:t>
      </w:r>
    </w:p>
    <w:p w:rsidR="00100B54" w:rsidRPr="00100B54" w:rsidRDefault="00100B54" w:rsidP="00FB117F">
      <w:pPr>
        <w:numPr>
          <w:ilvl w:val="0"/>
          <w:numId w:val="34"/>
        </w:numPr>
        <w:tabs>
          <w:tab w:val="left" w:pos="92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Иные нарушения – 51 случай:</w:t>
      </w:r>
    </w:p>
    <w:p w:rsidR="00100B54" w:rsidRPr="00100B54" w:rsidRDefault="00FB117F" w:rsidP="00FB117F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>- нарушение муниципальных правовых актов – 49 случаев на сумму 166,12 рублей;</w:t>
      </w:r>
    </w:p>
    <w:p w:rsidR="00100B54" w:rsidRPr="00100B54" w:rsidRDefault="00FB117F" w:rsidP="00FB117F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>- нарушение трудового законодательства – 2 случая без суммового выражения.</w:t>
      </w:r>
    </w:p>
    <w:p w:rsidR="00100B54" w:rsidRPr="00100B54" w:rsidRDefault="00FB117F" w:rsidP="00FB117F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 xml:space="preserve">Подробные сведения о контрольном мероприятии содержатся в составленном по его результатам отчете, который был направлен в Думу города Радужный. </w:t>
      </w:r>
    </w:p>
    <w:p w:rsidR="00100B54" w:rsidRPr="00100B54" w:rsidRDefault="00FB117F" w:rsidP="00FB117F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>В целях устранения нарушений и недостатков объектам контроля внесены представления, срок исполнения которых на момент представления настоящего отчета не истек.</w:t>
      </w:r>
    </w:p>
    <w:p w:rsidR="00100B54" w:rsidRPr="00100B54" w:rsidRDefault="00FB117F" w:rsidP="00FB117F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>В целях обмена информацией и принятия предусмотренных законом мер акты, составленные по результатам проверки, направлены в прокуратуру города.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3. Контрольное мероприятие «Проверка установленного порядка формирования муниципальной собственности, законности и эффективности управления и распоряжения такой собственностью (выборочно)», проверяемый период – 9 месяцев 2024 года.</w:t>
      </w:r>
    </w:p>
    <w:p w:rsidR="00100B54" w:rsidRPr="00100B54" w:rsidRDefault="00FB117F" w:rsidP="00FB117F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 xml:space="preserve">Объект контрольного мероприятия: Комитет по УМИ. </w:t>
      </w:r>
    </w:p>
    <w:p w:rsidR="00100B54" w:rsidRPr="00100B54" w:rsidRDefault="00FB117F" w:rsidP="00FB117F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>Цель контрольного мероприятия: Проверить соблюдение действующего законодательства при формировании муниципального имущества и фактическое наличие муниципального имущества, в том числе его целевое использование.</w:t>
      </w:r>
    </w:p>
    <w:p w:rsidR="00100B54" w:rsidRPr="00100B54" w:rsidRDefault="00FB117F" w:rsidP="00FB117F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>Объем проверенных средств: 8 583 130,97 тыс. рублей.</w:t>
      </w:r>
    </w:p>
    <w:p w:rsidR="00100B54" w:rsidRPr="00100B54" w:rsidRDefault="00FB117F" w:rsidP="00FB11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0B54" w:rsidRPr="00100B54">
        <w:rPr>
          <w:rFonts w:ascii="Times New Roman" w:eastAsia="Calibri" w:hAnsi="Times New Roman" w:cs="Times New Roman"/>
          <w:sz w:val="28"/>
          <w:szCs w:val="28"/>
        </w:rPr>
        <w:t>По результатам контрольного мероприятия установлено 47 случаев нарушений на общую сумму 90 234,20 тыс. рублей, из них: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нарушения порядка ведения реестра муниципального имущества – 7 случаев на сумму 90 136,76 тыс. рублей; 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объекты муниципальной собственности не используются по назначению, данные о местонахождении одного объекта имущества отсутствуют – 8 случаев без суммового выражения;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имущество, подлежащее передаче в собственность субъекта РФ и федеральную собственность, не передано – 5 случаев без суммового выражения;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произведена приватизация или перепрофилирование муниципального имущества – 1 случай без суммового выражения;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неэффективные расходы бюджетных сре</w:t>
      </w:r>
      <w:proofErr w:type="gramStart"/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св</w:t>
      </w:r>
      <w:proofErr w:type="gramEnd"/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оплатой взносов на капитальный ремонт за имущество, переданное в безвозмездное пользование – 7 случаев на сумму 76,47 тыс. рублей;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договорам безвозмездного пользования ссудополучателями страхование объектов не проведено, договоры страхования не представлены – 16 случаев без суммового выражения;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проведена работа по взысканию задолженности по арендной плате за имущество, переданное в аренду физическому лицу (деятельность в качестве индивидуального предпринимателя прекращена в марте 2023 года) – 1 случай на сумму 20,97 тыс. рублей;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муниципальных правовых актов нормам федерального законодательства – 2 случая без суммового выражения. </w:t>
      </w:r>
    </w:p>
    <w:p w:rsidR="00100B54" w:rsidRPr="00100B54" w:rsidRDefault="00FB117F" w:rsidP="00FB117F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 xml:space="preserve">Подробные сведения о контрольном мероприятии содержатся в составленном по его результатам отчете, который был направлен в Думу города Радужный. </w:t>
      </w:r>
    </w:p>
    <w:p w:rsidR="00100B54" w:rsidRPr="00100B54" w:rsidRDefault="00FB117F" w:rsidP="00FB117F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>В целях устранения нарушений и недостатков объекту контроля внесено представление, срок исполнения которого на момент представления отчета не истек.</w:t>
      </w:r>
    </w:p>
    <w:p w:rsidR="00100B54" w:rsidRPr="00100B54" w:rsidRDefault="00FB117F" w:rsidP="00FB117F">
      <w:pPr>
        <w:tabs>
          <w:tab w:val="left" w:pos="567"/>
          <w:tab w:val="left" w:pos="851"/>
        </w:tabs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</w:rPr>
        <w:t>В целях обмена информацией и принятия предусмотренных законом мер, акт проверки направлен в прокуратуру города Радужный.</w:t>
      </w:r>
    </w:p>
    <w:p w:rsidR="00100B54" w:rsidRPr="00100B54" w:rsidRDefault="00100B54" w:rsidP="00100B5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FB117F" w:rsidRDefault="00100B54" w:rsidP="00B8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10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Экспертно-аналитические мероприятия </w:t>
      </w:r>
    </w:p>
    <w:p w:rsidR="00100B54" w:rsidRDefault="00100B54" w:rsidP="00B8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реализация их результатов</w:t>
      </w:r>
    </w:p>
    <w:p w:rsidR="00FB117F" w:rsidRPr="00100B54" w:rsidRDefault="00FB117F" w:rsidP="00FB1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B54" w:rsidRPr="00100B54" w:rsidRDefault="00FB117F" w:rsidP="00B842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0B54"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Экспертно-аналитические мероприятия в 2024 году проводились в соответствии Планом работы и стандартами внешнего муниципального финансового контроля. 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отчетном периоде Счетной палатой города проведено 160 экспертно-аналитических мероприятий, из них: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- 159 в виде экспертиз проекта местного бюджета и внесений изменений в него, проектов муниципальных правовых актов в части, касающейся расходных обязательств города Радужный и приводящих к изменению доходов местного бюджета, а также проектов муниципальных программ;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- 1 в виде аудита в сфере закупок товаров, работ и услуг в соответствии с Федеральным законом от 5 апреля 2013 года № 44-ФЗ «О </w:t>
      </w: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контрактной системе в сфере закупок товаров, работ, услуг для обеспечения государственных и муниципальных нужд». 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экспертиз проектов муниципальных правовых проводился анализ их соответствия действующему законодательству, нормативной и методической базе, проверялись расчеты, экономические, финансовые и иного рода обоснования. 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Велась работа по выявлению коррупциогенных факторов в соответствии с Методикой проведения антикоррупционной экспертизы нормативных правовых актов и проектов нормативных правовых актов</w:t>
      </w:r>
      <w:r w:rsidRPr="00100B5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4"/>
      </w: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Цель данной работы – предупредить возможные нарушения и риски до принятия правовых актов. 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заключениях Счетной палаты на проекты муниципальных правовых актов города отражались (при наличии) замечания о несоответствии проектов действующему законодательству, выявленные коррупциогенные факторы, об отсутствии или недостаточности финансово-экономических обоснований и иные замечания, которые предлагались к устранению. При подготовке заключений уделялось внимание взаимодействию с разработчиками проектов муниципальных правовых актов, что позволило устранить ряд выявленных замечаний на этапе проведения экспертизы.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предварительного контроля были подготовлены заключения на проекты решений Думы города</w:t>
      </w:r>
      <w:r w:rsidRPr="00100B54">
        <w:rPr>
          <w:rFonts w:ascii="Calibri" w:eastAsia="Calibri" w:hAnsi="Calibri" w:cs="Times New Roman"/>
        </w:rPr>
        <w:t xml:space="preserve"> «</w:t>
      </w: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города Радужный на 2024 год и на плановый период 2025 и 2026 годов» и «О внесении изменений в решение Думы города Радужный о бюджете муниципального образования город Радужный на 2024 год и на плановый период 2025 и 2026 годов».</w:t>
      </w:r>
      <w:proofErr w:type="gramEnd"/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Экспертиза проводилась в целях проверки и анализа обоснованности показателей местного бюджета.</w:t>
      </w:r>
    </w:p>
    <w:p w:rsidR="00100B54" w:rsidRPr="00100B54" w:rsidRDefault="00100B54" w:rsidP="00FB1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1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требованиями статей 157, 264.4 Бюджетного кодекса Российской Федерации (далее также – Бюджетный кодекс РФ) была проведена внешняя проверка отчета об исполнении бюджета муниципального образования города Радужный за 2023 год с учетом результатов внешней проверки бюджетной отчетности 3-х главных администраторов бюджетных средств, по итогам которой установлено, что проект решения об исполнении бюджета соответствует требованиям Бюджетного кодекса РФ и</w:t>
      </w:r>
      <w:r w:rsidRPr="00100B54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ешению</w:t>
      </w:r>
      <w:proofErr w:type="gramEnd"/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от 18.06.2015 № 594 «О </w:t>
      </w:r>
      <w:proofErr w:type="gramStart"/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Положении</w:t>
      </w:r>
      <w:proofErr w:type="gramEnd"/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отдельных вопросах организации и осуществления бюджетного процесса в городе Радужный».</w:t>
      </w:r>
    </w:p>
    <w:p w:rsidR="00100B54" w:rsidRPr="00100B54" w:rsidRDefault="00100B54" w:rsidP="00B8429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 Счетной палатой проведено экспертно-аналитическое мероприятие «Аудит в сфере закупок 2023 года и текущего периода 2024 года в КУ «ДЕЗ по ГХ» города Радужный (выборочно)».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проведенного мероприятия была оценка реализуемости, рисков и результатов достижения целей, предусмотренных документами стратегического планирования муниципального образования и анализ </w:t>
      </w:r>
      <w:proofErr w:type="spellStart"/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урегулированности</w:t>
      </w:r>
      <w:proofErr w:type="spellEnd"/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местном уровне вопросов, связанных с осуществлением озеленения территории города Радужный; анализ законности, целесообразности, обоснованности, своевременности, эффективности и результативности расходов на закупки по заключенным и исполненным контрактам.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экспертно-аналитического мероприятия установлено 17 случаев нарушений без суммового выражения, из них: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сфере управления и распоряжения государственной (</w:t>
      </w:r>
      <w:r w:rsidR="00B84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муниципальной) собственностью – </w:t>
      </w: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случай; 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осуществлении государственных (муниципальных) закупок и закупок отдельными видами юридических лиц – 8 случаев;</w:t>
      </w:r>
    </w:p>
    <w:p w:rsidR="00100B54" w:rsidRPr="00100B54" w:rsidRDefault="00100B54" w:rsidP="00FB117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иные нарушения – 8 случаев.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 результатах экспертно-аналитического мероприятия направлен в Думу города и главе города Радужный, для сведения в адрес КУ «</w:t>
      </w:r>
      <w:proofErr w:type="spellStart"/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ДЕЗпоГХ</w:t>
      </w:r>
      <w:proofErr w:type="spellEnd"/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Комитета по УМИ.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обмена информацией и принятия предусмотренных законом мер, отчет направлен в прокуратуру города Радужный.</w:t>
      </w:r>
    </w:p>
    <w:p w:rsidR="00100B54" w:rsidRPr="00100B54" w:rsidRDefault="00100B54" w:rsidP="00FB117F">
      <w:pPr>
        <w:tabs>
          <w:tab w:val="left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00B54" w:rsidRDefault="00100B54" w:rsidP="00FB117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0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Правовое, методологическое обеспечение деятельности, организационная и кадровая работа Счетной палаты города</w:t>
      </w:r>
    </w:p>
    <w:p w:rsidR="00FB117F" w:rsidRPr="00100B54" w:rsidRDefault="00FB117F" w:rsidP="00FB117F">
      <w:pPr>
        <w:tabs>
          <w:tab w:val="left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B54" w:rsidRPr="00100B54" w:rsidRDefault="00FB117F" w:rsidP="00FB11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Счетная палата города руководствуется законодательством Российской Федерации, Положением о Счетной палате города, Регламентом Счетной палаты города, стандартами организации деятельности и внешнего муниципального финансового контроля, утвержденными приказами Счетной палаты города.</w:t>
      </w:r>
    </w:p>
    <w:p w:rsidR="00100B54" w:rsidRPr="00100B54" w:rsidRDefault="00FB117F" w:rsidP="00FB11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Счетной палаты города на постоянной основе изучают практический опыт работы контрольно-счетных органов Российской Федерации, принимают участие в проводимых</w:t>
      </w:r>
      <w:r w:rsidR="00100B54" w:rsidRPr="00100B54">
        <w:rPr>
          <w:rFonts w:ascii="Calibri" w:eastAsia="Calibri" w:hAnsi="Calibri" w:cs="Times New Roman"/>
        </w:rPr>
        <w:t xml:space="preserve"> </w:t>
      </w:r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Союзом МКСО обучающих мероприятиях, организовываются и проводятся рабочие совещания.</w:t>
      </w:r>
    </w:p>
    <w:p w:rsidR="00100B54" w:rsidRPr="00100B54" w:rsidRDefault="00FB117F" w:rsidP="00FB11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2 сотрудника прошли </w:t>
      </w:r>
      <w:proofErr w:type="gramStart"/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квалификации, 1 сотрудник принял участие в обучающем семинаре. </w:t>
      </w:r>
    </w:p>
    <w:p w:rsidR="00100B54" w:rsidRPr="00100B54" w:rsidRDefault="00100B54" w:rsidP="00FB117F">
      <w:pPr>
        <w:tabs>
          <w:tab w:val="left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00B54" w:rsidRDefault="00100B54" w:rsidP="00FB117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10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Противодействие коррупции</w:t>
      </w:r>
    </w:p>
    <w:p w:rsidR="00FB117F" w:rsidRPr="00100B54" w:rsidRDefault="00FB117F" w:rsidP="00FB117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B54" w:rsidRPr="00100B54" w:rsidRDefault="00FB117F" w:rsidP="00FB11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 Плана противодействия коррупции, утвержденного приказом Счетной палаты города от 27.12.2023 №13, за отчетный период проведена следующая работа.</w:t>
      </w:r>
    </w:p>
    <w:p w:rsidR="00100B54" w:rsidRPr="00100B54" w:rsidRDefault="00FB117F" w:rsidP="00FB11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своевременной подачи муниципальными служащими и лицами, замещающими муниципальные должности, сведений о своих доходах, расходах, об имуществе и обязательствах имущественного характера, а также аналогичные сведения на своих супругов и несовершеннолетних детей, проведена разъяснительная работа, в том числе доведены до их сведения</w:t>
      </w:r>
      <w:r w:rsidR="00100B54" w:rsidRPr="00100B54">
        <w:rPr>
          <w:rFonts w:ascii="Times New Roman" w:eastAsia="Calibri" w:hAnsi="Times New Roman" w:cs="Times New Roman"/>
          <w:sz w:val="28"/>
          <w:szCs w:val="28"/>
        </w:rPr>
        <w:t xml:space="preserve"> утвержденные Минтрудом России «Методические рекомендации по вопросам представления сведений о доходах, расходах, об </w:t>
      </w:r>
      <w:r w:rsidR="00100B54" w:rsidRPr="00100B54">
        <w:rPr>
          <w:rFonts w:ascii="Times New Roman" w:eastAsia="Calibri" w:hAnsi="Times New Roman" w:cs="Times New Roman"/>
          <w:sz w:val="28"/>
          <w:szCs w:val="28"/>
        </w:rPr>
        <w:lastRenderedPageBreak/>
        <w:t>имуществе и обязательствах имущественного характера</w:t>
      </w:r>
      <w:proofErr w:type="gramEnd"/>
      <w:r w:rsidR="00100B54" w:rsidRPr="00100B54">
        <w:rPr>
          <w:rFonts w:ascii="Times New Roman" w:eastAsia="Calibri" w:hAnsi="Times New Roman" w:cs="Times New Roman"/>
          <w:sz w:val="28"/>
          <w:szCs w:val="28"/>
        </w:rPr>
        <w:t xml:space="preserve"> и заполнения соответствующей формы справки в 2024 году (за отчетный 2023 год)</w:t>
      </w:r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0B54" w:rsidRPr="00100B54" w:rsidRDefault="00FB117F" w:rsidP="00FB11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назначенным ответственным за организацию работы по профилактике коррупционных и иных правонарушений, принято 3 справки о доходах, расходах, об имуществе и обязательствах имущественного характера, из них 1 – по муниципальному служащему Счетной палаты города, 2 – на супруга и несовершеннолетнего ребенка.</w:t>
      </w:r>
    </w:p>
    <w:p w:rsidR="00100B54" w:rsidRPr="00100B54" w:rsidRDefault="00FB117F" w:rsidP="00FB11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замещающими муниципальные должности, представлено 13 справок о доходах, расходах, об имуществе и обязательствах имущественного характера, из них 9 – на супругов и несовершеннолетних детей.</w:t>
      </w:r>
    </w:p>
    <w:p w:rsidR="00100B54" w:rsidRPr="00100B54" w:rsidRDefault="00FB117F" w:rsidP="00FB11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проводится работа по формированию отрицательного отношения к коррупции среди муниципальных служащих Счетной палаты города и лиц, замещающих муниципальные должности. Осуществляется организация</w:t>
      </w:r>
      <w:r w:rsidR="00100B54" w:rsidRPr="0010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просвещения (семинары, лекции, совещания и др.). </w:t>
      </w:r>
    </w:p>
    <w:p w:rsidR="00100B54" w:rsidRPr="00100B54" w:rsidRDefault="00FB117F" w:rsidP="00FB11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контроль за обязательным и неукоснительным соблюдением сотрудниками Счетной палаты города норм действующего законодательства по противодействию коррупции в процессе исполнения ими должностных обязанностей. </w:t>
      </w:r>
    </w:p>
    <w:p w:rsidR="00100B54" w:rsidRPr="00100B54" w:rsidRDefault="00100B54" w:rsidP="00FB11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00B54" w:rsidRDefault="00100B54" w:rsidP="00FB117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10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Информационная деятельность</w:t>
      </w:r>
    </w:p>
    <w:p w:rsidR="00FB117F" w:rsidRPr="00100B54" w:rsidRDefault="00FB117F" w:rsidP="00FB117F">
      <w:pPr>
        <w:tabs>
          <w:tab w:val="left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27.07.2006 № 149-ФЗ «Об информации, информационных технологиях и о защите информации»,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от 06.10.2003 № 131-ФЗ «Об общих принципах организации местного самоуправления в Российской</w:t>
      </w:r>
      <w:proofErr w:type="gramEnd"/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Уставом города Радужный, Положением о Счетной палате города, Регламентом Счетной палаты города и иными муниципальными правовыми актами города Радужный информация о результатах контрольной и экспертно-аналитической деятельности Счетной палаты города представляется в Думу города и главе города, а также размещается на официальном сайте (spalatarad.ru) и публикуется в средствах массовой информации.</w:t>
      </w:r>
      <w:proofErr w:type="gramEnd"/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информация о деятельности Счетной палаты размещается</w:t>
      </w:r>
      <w:r w:rsidRPr="00100B54">
        <w:rPr>
          <w:rFonts w:ascii="Calibri" w:eastAsia="Calibri" w:hAnsi="Calibri" w:cs="Times New Roman"/>
        </w:rPr>
        <w:t xml:space="preserve"> 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официальной странице в сети «Интернет» (https://vk.com/public216571671).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публикаций в СМИ (в том числе на собственном информационном сайте в сети Интернет), отражающих деятельность Счетной палаты города за 2024 год, составило 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330. </w:t>
      </w:r>
    </w:p>
    <w:p w:rsidR="00100B54" w:rsidRDefault="00100B54" w:rsidP="00FB1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17F" w:rsidRPr="00100B54" w:rsidRDefault="00FB117F" w:rsidP="00FB1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54" w:rsidRDefault="00100B54" w:rsidP="00FB117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VII</w:t>
      </w:r>
      <w:r w:rsidRPr="0010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Взаимодействие с другими органами</w:t>
      </w:r>
    </w:p>
    <w:p w:rsidR="00FB117F" w:rsidRPr="00100B54" w:rsidRDefault="00FB117F" w:rsidP="00FB117F">
      <w:pPr>
        <w:tabs>
          <w:tab w:val="left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Счетной палатой города осуществлялось взаимодействие по вопросам текущей деятельности с Думой города, Администрацией города и ее структурными подразделениями, Счетной палатой ХМАО – Югры и контрольно-счетными органами муниципальных образований. Председатель и заместитель председателя Счетной палаты города принимали участие в работе Думы города и Администрации города. Председатель Счетной палаты города является членом Межведомственного Совета при главе города Радужный по противодействию коррупции.</w:t>
      </w:r>
    </w:p>
    <w:p w:rsidR="00100B54" w:rsidRPr="00100B54" w:rsidRDefault="00100B54" w:rsidP="00FB11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палата города является членом Совета органов внешнего финансового контроля ХМАО – Югры и членом Союза муниципальных контрольно-счетных органов Российской Федерации.</w:t>
      </w:r>
    </w:p>
    <w:p w:rsidR="00100B54" w:rsidRDefault="00FB117F" w:rsidP="00FB117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0B54"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Счетной палаты города состоит в комиссии Союза МКСО по вопросам методического обеспечения.</w:t>
      </w:r>
    </w:p>
    <w:p w:rsidR="00441E8E" w:rsidRDefault="00441E8E" w:rsidP="00100B54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8E" w:rsidRPr="00100B54" w:rsidRDefault="00441E8E" w:rsidP="00100B54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B54" w:rsidRPr="00100B54" w:rsidRDefault="00100B54" w:rsidP="00100B54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B54" w:rsidRDefault="00441E8E" w:rsidP="0022574C">
      <w:pPr>
        <w:spacing w:after="0" w:line="276" w:lineRule="auto"/>
        <w:jc w:val="center"/>
      </w:pPr>
      <w:r>
        <w:t>____________________________________________</w:t>
      </w:r>
    </w:p>
    <w:sectPr w:rsidR="00100B54" w:rsidSect="000B7C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85" w:rsidRDefault="00860C85" w:rsidP="006A7C7B">
      <w:pPr>
        <w:spacing w:after="0" w:line="240" w:lineRule="auto"/>
      </w:pPr>
      <w:r>
        <w:separator/>
      </w:r>
    </w:p>
  </w:endnote>
  <w:endnote w:type="continuationSeparator" w:id="0">
    <w:p w:rsidR="00860C85" w:rsidRDefault="00860C85" w:rsidP="006A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85" w:rsidRDefault="00860C85" w:rsidP="006A7C7B">
      <w:pPr>
        <w:spacing w:after="0" w:line="240" w:lineRule="auto"/>
      </w:pPr>
      <w:r>
        <w:separator/>
      </w:r>
    </w:p>
  </w:footnote>
  <w:footnote w:type="continuationSeparator" w:id="0">
    <w:p w:rsidR="00860C85" w:rsidRDefault="00860C85" w:rsidP="006A7C7B">
      <w:pPr>
        <w:spacing w:after="0" w:line="240" w:lineRule="auto"/>
      </w:pPr>
      <w:r>
        <w:continuationSeparator/>
      </w:r>
    </w:p>
  </w:footnote>
  <w:footnote w:id="1">
    <w:p w:rsidR="00100B54" w:rsidRDefault="00100B54" w:rsidP="00100B54">
      <w:pPr>
        <w:pStyle w:val="a3"/>
        <w:jc w:val="both"/>
        <w:rPr>
          <w:rFonts w:ascii="Times New Roman" w:eastAsia="Calibri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Наибольший удельный вес в объеме проверенных средств составили: бюджетные ассигнования, предусмотренные на реализацию муниципальных программ в 2024 (3 588 320,10 тыс. рублей) и 2025 (4 276 091,99 тыс. рублей) годах, а также стоимость имущества муниципальной казны (свободного от прав третьих лиц – 2 064 627,26 тыс. рублей, переданного в аренду – 92 767,16 тыс. рублей, переданного в безвозмездное пользование – 43 187,64 тыс. рублей и переданного в оперативное управление – 6 382 548,91 тыс. рублей), проверенного в ходе контрольного мероприятия «Проверка установленного порядка формирования муниципальной собственности, законности и эффективности управления и распоряжения такой собственностью (выборочно)»</w:t>
      </w:r>
    </w:p>
  </w:footnote>
  <w:footnote w:id="2">
    <w:p w:rsidR="00100B54" w:rsidRDefault="00100B54" w:rsidP="00100B54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Одно постановление о назначении административного наказания вынесено по причине объединения пяти протоколов в одно производство определением судьи (часть 5 статьи 4.4. КоАП РФ). По всем пяти фактам административного правонарушения вина установлена </w:t>
      </w:r>
    </w:p>
  </w:footnote>
  <w:footnote w:id="3">
    <w:p w:rsidR="00100B54" w:rsidRDefault="00100B54" w:rsidP="00100B54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Под объемом финансовых нарушений понимается стоимостная оценка выявленных нарушений (недостатков), а также возможных последствий реализации выявленных бюджетных рисков, указываемых в случаях наличия такой возможности</w:t>
      </w:r>
    </w:p>
  </w:footnote>
  <w:footnote w:id="4">
    <w:p w:rsidR="00100B54" w:rsidRDefault="00100B54" w:rsidP="00100B54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Утверждена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постановлением Правительства РФ от 26.02.2010 № 96 «Об антикоррупционной экспертизе нормативных правовых актов и проектов нормативных правовых актов».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2B9"/>
    <w:multiLevelType w:val="hybridMultilevel"/>
    <w:tmpl w:val="C96CC3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00A34"/>
    <w:multiLevelType w:val="hybridMultilevel"/>
    <w:tmpl w:val="5AB06E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963E13"/>
    <w:multiLevelType w:val="hybridMultilevel"/>
    <w:tmpl w:val="BD785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C2FB6"/>
    <w:multiLevelType w:val="hybridMultilevel"/>
    <w:tmpl w:val="4A68E7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8967E3"/>
    <w:multiLevelType w:val="hybridMultilevel"/>
    <w:tmpl w:val="63B0E2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F20B41"/>
    <w:multiLevelType w:val="multilevel"/>
    <w:tmpl w:val="84AE8C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8617971"/>
    <w:multiLevelType w:val="hybridMultilevel"/>
    <w:tmpl w:val="97E221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D02298"/>
    <w:multiLevelType w:val="hybridMultilevel"/>
    <w:tmpl w:val="A7BC497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9197B64"/>
    <w:multiLevelType w:val="hybridMultilevel"/>
    <w:tmpl w:val="E7C88E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CD348A"/>
    <w:multiLevelType w:val="hybridMultilevel"/>
    <w:tmpl w:val="1596934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84E6461"/>
    <w:multiLevelType w:val="hybridMultilevel"/>
    <w:tmpl w:val="708C2DE0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8CB3169"/>
    <w:multiLevelType w:val="hybridMultilevel"/>
    <w:tmpl w:val="907EB9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605814"/>
    <w:multiLevelType w:val="hybridMultilevel"/>
    <w:tmpl w:val="5E10F8A6"/>
    <w:lvl w:ilvl="0" w:tplc="77CA0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77125"/>
    <w:multiLevelType w:val="hybridMultilevel"/>
    <w:tmpl w:val="DD8E33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B81132"/>
    <w:multiLevelType w:val="hybridMultilevel"/>
    <w:tmpl w:val="E22C39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3968E8"/>
    <w:multiLevelType w:val="hybridMultilevel"/>
    <w:tmpl w:val="C6E84B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917A6A"/>
    <w:multiLevelType w:val="hybridMultilevel"/>
    <w:tmpl w:val="068ECD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663473"/>
    <w:multiLevelType w:val="hybridMultilevel"/>
    <w:tmpl w:val="DE84E7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4D14460"/>
    <w:multiLevelType w:val="hybridMultilevel"/>
    <w:tmpl w:val="917CBE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D0793B"/>
    <w:multiLevelType w:val="hybridMultilevel"/>
    <w:tmpl w:val="2A9C30D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90E254A"/>
    <w:multiLevelType w:val="hybridMultilevel"/>
    <w:tmpl w:val="2FBA3D3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63BD0AC6"/>
    <w:multiLevelType w:val="hybridMultilevel"/>
    <w:tmpl w:val="E234A3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AD7D9E"/>
    <w:multiLevelType w:val="hybridMultilevel"/>
    <w:tmpl w:val="DC1A51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616982"/>
    <w:multiLevelType w:val="hybridMultilevel"/>
    <w:tmpl w:val="B6AA366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7365D58"/>
    <w:multiLevelType w:val="hybridMultilevel"/>
    <w:tmpl w:val="311EC01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C217E5F"/>
    <w:multiLevelType w:val="hybridMultilevel"/>
    <w:tmpl w:val="915ACB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690AFB"/>
    <w:multiLevelType w:val="hybridMultilevel"/>
    <w:tmpl w:val="E5BABE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A619C9"/>
    <w:multiLevelType w:val="hybridMultilevel"/>
    <w:tmpl w:val="AF0AAECE"/>
    <w:lvl w:ilvl="0" w:tplc="656A298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612CEE"/>
    <w:multiLevelType w:val="hybridMultilevel"/>
    <w:tmpl w:val="CAD0394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72E6032"/>
    <w:multiLevelType w:val="hybridMultilevel"/>
    <w:tmpl w:val="473651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EA00937"/>
    <w:multiLevelType w:val="hybridMultilevel"/>
    <w:tmpl w:val="A718F4B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9662E8"/>
    <w:multiLevelType w:val="hybridMultilevel"/>
    <w:tmpl w:val="B8F64B28"/>
    <w:lvl w:ilvl="0" w:tplc="C338D1A8">
      <w:start w:val="1"/>
      <w:numFmt w:val="decimal"/>
      <w:lvlText w:val="%1."/>
      <w:lvlJc w:val="left"/>
      <w:pPr>
        <w:ind w:left="1131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19"/>
  </w:num>
  <w:num w:numId="9">
    <w:abstractNumId w:val="28"/>
  </w:num>
  <w:num w:numId="10">
    <w:abstractNumId w:val="6"/>
  </w:num>
  <w:num w:numId="11">
    <w:abstractNumId w:val="27"/>
  </w:num>
  <w:num w:numId="12">
    <w:abstractNumId w:val="26"/>
  </w:num>
  <w:num w:numId="13">
    <w:abstractNumId w:val="22"/>
  </w:num>
  <w:num w:numId="14">
    <w:abstractNumId w:val="24"/>
  </w:num>
  <w:num w:numId="15">
    <w:abstractNumId w:val="20"/>
  </w:num>
  <w:num w:numId="16">
    <w:abstractNumId w:val="12"/>
  </w:num>
  <w:num w:numId="17">
    <w:abstractNumId w:val="8"/>
  </w:num>
  <w:num w:numId="18">
    <w:abstractNumId w:val="18"/>
  </w:num>
  <w:num w:numId="19">
    <w:abstractNumId w:val="15"/>
  </w:num>
  <w:num w:numId="20">
    <w:abstractNumId w:val="3"/>
  </w:num>
  <w:num w:numId="21">
    <w:abstractNumId w:val="1"/>
  </w:num>
  <w:num w:numId="22">
    <w:abstractNumId w:val="9"/>
  </w:num>
  <w:num w:numId="23">
    <w:abstractNumId w:val="7"/>
  </w:num>
  <w:num w:numId="24">
    <w:abstractNumId w:val="23"/>
  </w:num>
  <w:num w:numId="25">
    <w:abstractNumId w:val="25"/>
  </w:num>
  <w:num w:numId="26">
    <w:abstractNumId w:val="17"/>
  </w:num>
  <w:num w:numId="27">
    <w:abstractNumId w:val="31"/>
  </w:num>
  <w:num w:numId="28">
    <w:abstractNumId w:val="29"/>
  </w:num>
  <w:num w:numId="29">
    <w:abstractNumId w:val="4"/>
  </w:num>
  <w:num w:numId="30">
    <w:abstractNumId w:val="13"/>
  </w:num>
  <w:num w:numId="31">
    <w:abstractNumId w:val="2"/>
  </w:num>
  <w:num w:numId="32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56"/>
    <w:rsid w:val="0002664A"/>
    <w:rsid w:val="00067B8D"/>
    <w:rsid w:val="000B7C98"/>
    <w:rsid w:val="00100B54"/>
    <w:rsid w:val="00146862"/>
    <w:rsid w:val="0022574C"/>
    <w:rsid w:val="00251D14"/>
    <w:rsid w:val="002D6017"/>
    <w:rsid w:val="00354C5E"/>
    <w:rsid w:val="003704FA"/>
    <w:rsid w:val="003C03AA"/>
    <w:rsid w:val="00402FB4"/>
    <w:rsid w:val="00441E8E"/>
    <w:rsid w:val="004915FA"/>
    <w:rsid w:val="00587656"/>
    <w:rsid w:val="005D4821"/>
    <w:rsid w:val="006364FC"/>
    <w:rsid w:val="006A7C7B"/>
    <w:rsid w:val="006D108E"/>
    <w:rsid w:val="006F3784"/>
    <w:rsid w:val="00860C85"/>
    <w:rsid w:val="0088420C"/>
    <w:rsid w:val="008D6811"/>
    <w:rsid w:val="00916924"/>
    <w:rsid w:val="00932016"/>
    <w:rsid w:val="009439D1"/>
    <w:rsid w:val="0099633E"/>
    <w:rsid w:val="00A27B62"/>
    <w:rsid w:val="00A53647"/>
    <w:rsid w:val="00B1706B"/>
    <w:rsid w:val="00B8429D"/>
    <w:rsid w:val="00BD5D44"/>
    <w:rsid w:val="00C56D2E"/>
    <w:rsid w:val="00C94E7F"/>
    <w:rsid w:val="00CE24C4"/>
    <w:rsid w:val="00D77D43"/>
    <w:rsid w:val="00FB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74C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unhideWhenUsed/>
    <w:rsid w:val="00354C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rsid w:val="00354C5E"/>
    <w:rPr>
      <w:sz w:val="20"/>
      <w:szCs w:val="20"/>
    </w:rPr>
  </w:style>
  <w:style w:type="character" w:styleId="a5">
    <w:name w:val="footnote reference"/>
    <w:aliases w:val="текст сноски,анкета сноска,Знак сноски-FN,Ciae niinee-FN,Знак сноски 1,Ciae niinee 1"/>
    <w:basedOn w:val="a0"/>
    <w:uiPriority w:val="99"/>
    <w:unhideWhenUsed/>
    <w:rsid w:val="00354C5E"/>
    <w:rPr>
      <w:vertAlign w:val="superscript"/>
    </w:rPr>
  </w:style>
  <w:style w:type="paragraph" w:styleId="a3">
    <w:name w:val="footnote text"/>
    <w:basedOn w:val="a"/>
    <w:link w:val="10"/>
    <w:uiPriority w:val="99"/>
    <w:unhideWhenUsed/>
    <w:rsid w:val="00354C5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354C5E"/>
    <w:rPr>
      <w:sz w:val="20"/>
      <w:szCs w:val="2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2574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2574C"/>
  </w:style>
  <w:style w:type="character" w:customStyle="1" w:styleId="20">
    <w:name w:val="Заголовок 2 Знак"/>
    <w:basedOn w:val="a0"/>
    <w:link w:val="2"/>
    <w:uiPriority w:val="9"/>
    <w:semiHidden/>
    <w:rsid w:val="002257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2">
    <w:name w:val="Гиперссылка1"/>
    <w:basedOn w:val="a0"/>
    <w:uiPriority w:val="99"/>
    <w:unhideWhenUsed/>
    <w:rsid w:val="0022574C"/>
    <w:rPr>
      <w:color w:val="0000FF"/>
      <w:u w:val="single"/>
    </w:rPr>
  </w:style>
  <w:style w:type="paragraph" w:styleId="a6">
    <w:name w:val="Body Text"/>
    <w:basedOn w:val="a"/>
    <w:link w:val="a7"/>
    <w:rsid w:val="002257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257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2574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25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2257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2574C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Текст выноски1"/>
    <w:basedOn w:val="a"/>
    <w:next w:val="aa"/>
    <w:link w:val="ab"/>
    <w:uiPriority w:val="99"/>
    <w:semiHidden/>
    <w:unhideWhenUsed/>
    <w:rsid w:val="0022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3"/>
    <w:uiPriority w:val="99"/>
    <w:semiHidden/>
    <w:rsid w:val="0022574C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c"/>
    <w:uiPriority w:val="59"/>
    <w:rsid w:val="0022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next w:val="ad"/>
    <w:uiPriority w:val="34"/>
    <w:qFormat/>
    <w:rsid w:val="0022574C"/>
    <w:pPr>
      <w:spacing w:after="200" w:line="276" w:lineRule="auto"/>
      <w:ind w:left="720"/>
      <w:contextualSpacing/>
    </w:pPr>
  </w:style>
  <w:style w:type="paragraph" w:customStyle="1" w:styleId="ConsPlusCell">
    <w:name w:val="ConsPlusCell"/>
    <w:rsid w:val="00225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257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4">
    <w:name w:val="Body Text 2"/>
    <w:basedOn w:val="a"/>
    <w:link w:val="25"/>
    <w:unhideWhenUsed/>
    <w:rsid w:val="0022574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rsid w:val="0022574C"/>
    <w:rPr>
      <w:rFonts w:ascii="Calibri" w:eastAsia="Calibri" w:hAnsi="Calibri" w:cs="Times New Roman"/>
    </w:rPr>
  </w:style>
  <w:style w:type="character" w:customStyle="1" w:styleId="210">
    <w:name w:val="Заголовок 2 Знак1"/>
    <w:basedOn w:val="a0"/>
    <w:uiPriority w:val="9"/>
    <w:semiHidden/>
    <w:rsid w:val="002257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0"/>
    <w:uiPriority w:val="99"/>
    <w:semiHidden/>
    <w:unhideWhenUsed/>
    <w:rsid w:val="0022574C"/>
    <w:rPr>
      <w:color w:val="0563C1" w:themeColor="hyperlink"/>
      <w:u w:val="single"/>
    </w:rPr>
  </w:style>
  <w:style w:type="paragraph" w:styleId="aa">
    <w:name w:val="Balloon Text"/>
    <w:basedOn w:val="a"/>
    <w:link w:val="16"/>
    <w:uiPriority w:val="99"/>
    <w:semiHidden/>
    <w:unhideWhenUsed/>
    <w:rsid w:val="0022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22574C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22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25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74C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unhideWhenUsed/>
    <w:rsid w:val="00354C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rsid w:val="00354C5E"/>
    <w:rPr>
      <w:sz w:val="20"/>
      <w:szCs w:val="20"/>
    </w:rPr>
  </w:style>
  <w:style w:type="character" w:styleId="a5">
    <w:name w:val="footnote reference"/>
    <w:aliases w:val="текст сноски,анкета сноска,Знак сноски-FN,Ciae niinee-FN,Знак сноски 1,Ciae niinee 1"/>
    <w:basedOn w:val="a0"/>
    <w:uiPriority w:val="99"/>
    <w:unhideWhenUsed/>
    <w:rsid w:val="00354C5E"/>
    <w:rPr>
      <w:vertAlign w:val="superscript"/>
    </w:rPr>
  </w:style>
  <w:style w:type="paragraph" w:styleId="a3">
    <w:name w:val="footnote text"/>
    <w:basedOn w:val="a"/>
    <w:link w:val="10"/>
    <w:uiPriority w:val="99"/>
    <w:unhideWhenUsed/>
    <w:rsid w:val="00354C5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354C5E"/>
    <w:rPr>
      <w:sz w:val="20"/>
      <w:szCs w:val="2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2574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2574C"/>
  </w:style>
  <w:style w:type="character" w:customStyle="1" w:styleId="20">
    <w:name w:val="Заголовок 2 Знак"/>
    <w:basedOn w:val="a0"/>
    <w:link w:val="2"/>
    <w:uiPriority w:val="9"/>
    <w:semiHidden/>
    <w:rsid w:val="002257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2">
    <w:name w:val="Гиперссылка1"/>
    <w:basedOn w:val="a0"/>
    <w:uiPriority w:val="99"/>
    <w:unhideWhenUsed/>
    <w:rsid w:val="0022574C"/>
    <w:rPr>
      <w:color w:val="0000FF"/>
      <w:u w:val="single"/>
    </w:rPr>
  </w:style>
  <w:style w:type="paragraph" w:styleId="a6">
    <w:name w:val="Body Text"/>
    <w:basedOn w:val="a"/>
    <w:link w:val="a7"/>
    <w:rsid w:val="002257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257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2574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25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2257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2574C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Текст выноски1"/>
    <w:basedOn w:val="a"/>
    <w:next w:val="aa"/>
    <w:link w:val="ab"/>
    <w:uiPriority w:val="99"/>
    <w:semiHidden/>
    <w:unhideWhenUsed/>
    <w:rsid w:val="0022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3"/>
    <w:uiPriority w:val="99"/>
    <w:semiHidden/>
    <w:rsid w:val="0022574C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c"/>
    <w:uiPriority w:val="59"/>
    <w:rsid w:val="0022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next w:val="ad"/>
    <w:uiPriority w:val="34"/>
    <w:qFormat/>
    <w:rsid w:val="0022574C"/>
    <w:pPr>
      <w:spacing w:after="200" w:line="276" w:lineRule="auto"/>
      <w:ind w:left="720"/>
      <w:contextualSpacing/>
    </w:pPr>
  </w:style>
  <w:style w:type="paragraph" w:customStyle="1" w:styleId="ConsPlusCell">
    <w:name w:val="ConsPlusCell"/>
    <w:rsid w:val="00225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257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4">
    <w:name w:val="Body Text 2"/>
    <w:basedOn w:val="a"/>
    <w:link w:val="25"/>
    <w:unhideWhenUsed/>
    <w:rsid w:val="0022574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rsid w:val="0022574C"/>
    <w:rPr>
      <w:rFonts w:ascii="Calibri" w:eastAsia="Calibri" w:hAnsi="Calibri" w:cs="Times New Roman"/>
    </w:rPr>
  </w:style>
  <w:style w:type="character" w:customStyle="1" w:styleId="210">
    <w:name w:val="Заголовок 2 Знак1"/>
    <w:basedOn w:val="a0"/>
    <w:uiPriority w:val="9"/>
    <w:semiHidden/>
    <w:rsid w:val="002257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0"/>
    <w:uiPriority w:val="99"/>
    <w:semiHidden/>
    <w:unhideWhenUsed/>
    <w:rsid w:val="0022574C"/>
    <w:rPr>
      <w:color w:val="0563C1" w:themeColor="hyperlink"/>
      <w:u w:val="single"/>
    </w:rPr>
  </w:style>
  <w:style w:type="paragraph" w:styleId="aa">
    <w:name w:val="Balloon Text"/>
    <w:basedOn w:val="a"/>
    <w:link w:val="16"/>
    <w:uiPriority w:val="99"/>
    <w:semiHidden/>
    <w:unhideWhenUsed/>
    <w:rsid w:val="0022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22574C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22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25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6345-AEC1-46ED-A8A2-BB275BCD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3960</Words>
  <Characters>22576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 С.О.</dc:creator>
  <cp:lastModifiedBy>Ермоленко О.В.</cp:lastModifiedBy>
  <cp:revision>21</cp:revision>
  <cp:lastPrinted>2025-01-29T06:29:00Z</cp:lastPrinted>
  <dcterms:created xsi:type="dcterms:W3CDTF">2022-03-21T04:16:00Z</dcterms:created>
  <dcterms:modified xsi:type="dcterms:W3CDTF">2025-01-29T06:29:00Z</dcterms:modified>
</cp:coreProperties>
</file>